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城市轨道</w:t>
      </w:r>
      <w:r>
        <w:rPr>
          <w:rFonts w:ascii="宋体" w:hAnsi="宋体" w:cs="宋体"/>
          <w:b/>
          <w:color w:val="000000"/>
          <w:sz w:val="36"/>
          <w:szCs w:val="36"/>
        </w:rPr>
        <w:t>车辆</w:t>
      </w:r>
      <w:r>
        <w:rPr>
          <w:rFonts w:hint="eastAsia" w:ascii="宋体" w:hAnsi="宋体" w:cs="宋体"/>
          <w:b/>
          <w:color w:val="000000"/>
          <w:sz w:val="36"/>
          <w:szCs w:val="36"/>
          <w:lang w:val="en-US" w:eastAsia="zh-CN"/>
        </w:rPr>
        <w:t>应用</w:t>
      </w:r>
      <w:r>
        <w:rPr>
          <w:rFonts w:ascii="宋体" w:hAnsi="宋体" w:cs="宋体"/>
          <w:b/>
          <w:color w:val="000000"/>
          <w:sz w:val="36"/>
          <w:szCs w:val="36"/>
        </w:rPr>
        <w:t>技术</w:t>
      </w:r>
      <w:r>
        <w:rPr>
          <w:rFonts w:hint="eastAsia" w:ascii="宋体" w:hAnsi="宋体" w:cs="宋体"/>
          <w:b/>
          <w:color w:val="000000"/>
          <w:sz w:val="36"/>
          <w:szCs w:val="36"/>
        </w:rPr>
        <w:t>专业</w:t>
      </w:r>
      <w:r>
        <w:rPr>
          <w:rFonts w:hint="eastAsia" w:ascii="宋体" w:hAnsi="宋体" w:cs="宋体"/>
          <w:b/>
          <w:color w:val="000000"/>
          <w:sz w:val="36"/>
          <w:szCs w:val="36"/>
          <w:lang w:val="en-US" w:eastAsia="zh-CN"/>
        </w:rPr>
        <w:t>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bookmarkStart w:id="0" w:name="_GoBack"/>
      <w:bookmarkEnd w:id="0"/>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w:t>
      </w:r>
      <w:r>
        <w:rPr>
          <w:rFonts w:hint="eastAsia"/>
          <w:sz w:val="28"/>
          <w:szCs w:val="28"/>
          <w:lang w:val="en-US" w:eastAsia="zh-CN"/>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是面向中等职业技术学院考生（对口高职）考生参加的选拔性考试，是单招考试的组成部分。本测试指南适用于中等职业技术学院考生（对口高职）参加城市轨道车辆</w:t>
      </w:r>
      <w:r>
        <w:rPr>
          <w:rFonts w:hint="eastAsia"/>
          <w:sz w:val="28"/>
          <w:szCs w:val="28"/>
          <w:lang w:val="en-US" w:eastAsia="zh-CN"/>
        </w:rPr>
        <w:t>应用</w:t>
      </w:r>
      <w:r>
        <w:rPr>
          <w:rFonts w:hint="eastAsia"/>
          <w:sz w:val="28"/>
          <w:szCs w:val="28"/>
        </w:rPr>
        <w:t>技术专业人才的选拔。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交通运输类、机械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spacing w:line="400" w:lineRule="exact"/>
            </w:pPr>
            <w:r>
              <w:rPr>
                <w:rFonts w:hint="eastAsia"/>
              </w:rPr>
              <w:t>专业基</w:t>
            </w:r>
          </w:p>
          <w:p>
            <w:pPr>
              <w:spacing w:line="400" w:lineRule="exact"/>
            </w:pPr>
            <w:r>
              <w:rPr>
                <w:rFonts w:hint="eastAsia"/>
              </w:rPr>
              <w:t>本素质</w:t>
            </w:r>
          </w:p>
        </w:tc>
        <w:tc>
          <w:tcPr>
            <w:tcW w:w="1275" w:type="dxa"/>
            <w:vAlign w:val="center"/>
          </w:tcPr>
          <w:p>
            <w:pPr>
              <w:spacing w:line="400" w:lineRule="exact"/>
              <w:jc w:val="center"/>
            </w:pPr>
            <w:r>
              <w:rPr>
                <w:rFonts w:hint="eastAsia"/>
              </w:rPr>
              <w:t>基础素养</w:t>
            </w:r>
          </w:p>
        </w:tc>
        <w:tc>
          <w:tcPr>
            <w:tcW w:w="3119" w:type="dxa"/>
            <w:vMerge w:val="restart"/>
            <w:vAlign w:val="center"/>
          </w:tcPr>
          <w:p>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车辆技术专业技能</w:t>
            </w:r>
          </w:p>
        </w:tc>
        <w:tc>
          <w:tcPr>
            <w:tcW w:w="3119" w:type="dxa"/>
            <w:vAlign w:val="center"/>
          </w:tcPr>
          <w:p>
            <w:pPr>
              <w:spacing w:line="400" w:lineRule="exact"/>
              <w:rPr>
                <w:rFonts w:ascii="Times New Roman" w:hAnsi="Times New Roman" w:cs="Times New Roman"/>
              </w:rPr>
            </w:pPr>
            <w:r>
              <w:rPr>
                <w:rFonts w:ascii="Times New Roman" w:cs="Times New Roman"/>
              </w:rPr>
              <w:t>考生从车辆构造和车辆驾驶两个项目中任选一个项目参加考试。</w:t>
            </w:r>
          </w:p>
        </w:tc>
        <w:tc>
          <w:tcPr>
            <w:tcW w:w="2914" w:type="dxa"/>
            <w:vAlign w:val="center"/>
          </w:tcPr>
          <w:p>
            <w:pPr>
              <w:spacing w:line="400" w:lineRule="exact"/>
              <w:rPr>
                <w:rFonts w:ascii="Times New Roman" w:hAnsi="Times New Roman" w:cs="Times New Roman"/>
              </w:rPr>
            </w:pPr>
            <w:r>
              <w:rPr>
                <w:rFonts w:ascii="Times New Roman" w:hAnsi="Times New Roman" w:cs="Times New Roman"/>
              </w:rPr>
              <w:t>1.</w:t>
            </w:r>
            <w:r>
              <w:rPr>
                <w:rFonts w:ascii="Times New Roman" w:cs="Times New Roman"/>
              </w:rPr>
              <w:t>车辆结构的掌握程度。</w:t>
            </w:r>
          </w:p>
          <w:p>
            <w:pPr>
              <w:spacing w:line="400" w:lineRule="exact"/>
              <w:rPr>
                <w:rFonts w:ascii="Times New Roman" w:hAnsi="Times New Roman" w:cs="Times New Roman"/>
              </w:rPr>
            </w:pPr>
            <w:r>
              <w:rPr>
                <w:rFonts w:ascii="Times New Roman" w:hAnsi="Times New Roman" w:cs="Times New Roman"/>
              </w:rPr>
              <w:t>2.</w:t>
            </w:r>
            <w:r>
              <w:rPr>
                <w:rFonts w:ascii="Times New Roman" w:cs="Times New Roman"/>
              </w:rPr>
              <w:t>车辆驾驶的操作水平。</w:t>
            </w:r>
            <w:r>
              <w:rPr>
                <w:rFonts w:ascii="Times New Roman" w:hAnsi="Times New Roman" w:cs="Times New Roman"/>
              </w:rPr>
              <w:t xml:space="preserve"> </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1271" w:type="dxa"/>
            <w:vMerge w:val="restart"/>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rPr>
                <w:rFonts w:ascii="Times New Roman" w:hAnsi="Times New Roman" w:cs="Times New Roman"/>
              </w:rPr>
            </w:pPr>
            <w:r>
              <w:rPr>
                <w:rFonts w:ascii="Times New Roman" w:cs="Times New Roman"/>
              </w:rPr>
              <w:t>力测试</w:t>
            </w:r>
          </w:p>
          <w:p>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pPr>
              <w:spacing w:line="400" w:lineRule="exact"/>
              <w:jc w:val="center"/>
            </w:pPr>
            <w:r>
              <w:rPr>
                <w:rFonts w:hint="eastAsia"/>
              </w:rPr>
              <w:t>车体总体构造</w:t>
            </w:r>
          </w:p>
        </w:tc>
        <w:tc>
          <w:tcPr>
            <w:tcW w:w="4213" w:type="dxa"/>
            <w:vMerge w:val="restart"/>
            <w:vAlign w:val="center"/>
          </w:tcPr>
          <w:p>
            <w:pPr>
              <w:spacing w:line="400" w:lineRule="exact"/>
            </w:pPr>
            <w:r>
              <w:rPr>
                <w:rFonts w:hint="eastAsia"/>
              </w:rPr>
              <w:t>1、考察考生对</w:t>
            </w:r>
            <w:r>
              <w:t>车体总体</w:t>
            </w:r>
            <w:r>
              <w:rPr>
                <w:rFonts w:hint="eastAsia"/>
              </w:rPr>
              <w:t>结构是否</w:t>
            </w:r>
            <w:r>
              <w:t>有清晰的认识。</w:t>
            </w:r>
          </w:p>
          <w:p>
            <w:pPr>
              <w:spacing w:line="400" w:lineRule="exact"/>
              <w:jc w:val="left"/>
            </w:pPr>
            <w:r>
              <w:rPr>
                <w:rFonts w:hint="eastAsia"/>
              </w:rPr>
              <w:t>2、考察考生</w:t>
            </w:r>
            <w:r>
              <w:t>在</w:t>
            </w:r>
            <w:r>
              <w:rPr>
                <w:rFonts w:hint="eastAsia"/>
              </w:rPr>
              <w:t>驾驶操作</w:t>
            </w:r>
            <w:r>
              <w:t>过程中是否符合要求</w:t>
            </w:r>
            <w:r>
              <w:rPr>
                <w:rFonts w:hint="eastAsia"/>
              </w:rPr>
              <w:t>。</w:t>
            </w:r>
          </w:p>
        </w:tc>
        <w:tc>
          <w:tcPr>
            <w:tcW w:w="1175" w:type="dxa"/>
            <w:vMerge w:val="restart"/>
            <w:vAlign w:val="center"/>
          </w:tcPr>
          <w:p>
            <w:pPr>
              <w:spacing w:line="400" w:lineRule="exact"/>
              <w:jc w:val="center"/>
              <w:rPr>
                <w:rFonts w:ascii="Times New Roman" w:hAnsi="Times New Roman" w:cs="Times New Roman"/>
              </w:rPr>
            </w:pPr>
            <w:r>
              <w:rPr>
                <w:rFonts w:ascii="Times New Roman" w:hAnsi="Times New Roman" w:cs="Times New Roman"/>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车辆</w:t>
            </w:r>
            <w:r>
              <w:t>驾驶技术</w:t>
            </w:r>
          </w:p>
        </w:tc>
        <w:tc>
          <w:tcPr>
            <w:tcW w:w="4213" w:type="dxa"/>
            <w:vMerge w:val="continue"/>
            <w:vAlign w:val="center"/>
          </w:tcPr>
          <w:p>
            <w:pPr>
              <w:spacing w:line="360" w:lineRule="auto"/>
            </w:pPr>
          </w:p>
        </w:tc>
        <w:tc>
          <w:tcPr>
            <w:tcW w:w="1175" w:type="dxa"/>
            <w:vMerge w:val="continue"/>
            <w:vAlign w:val="center"/>
          </w:tcPr>
          <w:p>
            <w:pPr>
              <w:spacing w:line="360" w:lineRule="auto"/>
            </w:pP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hint="eastAsia" w:asciiTheme="minorEastAsia" w:hAnsiTheme="minorEastAsia"/>
          <w:sz w:val="28"/>
          <w:szCs w:val="28"/>
          <w:lang w:val="en-US" w:eastAsia="zh-CN"/>
        </w:rPr>
        <w:t>2</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decorative"/>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ZTBhZjQ5MDc5NjQyY2Y3MmRiYzBjYmY4YzM1ZDUifQ=="/>
  </w:docVars>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357A204A"/>
    <w:rsid w:val="360A057A"/>
    <w:rsid w:val="4170266B"/>
    <w:rsid w:val="42467F65"/>
    <w:rsid w:val="434B2AEE"/>
    <w:rsid w:val="5AA94F5B"/>
    <w:rsid w:val="6D170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List Paragraph"/>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623F-34B5-4053-89CD-2F8B55FDFE74}">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720</Words>
  <Characters>736</Characters>
  <Lines>5</Lines>
  <Paragraphs>1</Paragraphs>
  <TotalTime>2</TotalTime>
  <ScaleCrop>false</ScaleCrop>
  <LinksUpToDate>false</LinksUpToDate>
  <CharactersWithSpaces>737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2018-12-02T06:54:00Z</dcterms:created>
  <dc:creator>zhaolijun</dc:creator>
  <cp:lastModifiedBy>文档存本地丢失不负责</cp:lastModifiedBy>
  <dcterms:modified xsi:type="dcterms:W3CDTF">2023-02-21T03:27:26Z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07D3717667F24FF1A0277DE49AAF4F41</vt:lpwstr>
  </property>
</Properties>
</file>