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cs="宋体"/>
          <w:b/>
          <w:color w:val="000000"/>
          <w:sz w:val="36"/>
          <w:szCs w:val="36"/>
        </w:rPr>
      </w:pPr>
      <w:r>
        <w:rPr>
          <w:rFonts w:hint="eastAsia" w:ascii="宋体" w:hAnsi="宋体" w:cs="宋体"/>
          <w:b/>
          <w:color w:val="000000"/>
          <w:sz w:val="36"/>
          <w:szCs w:val="36"/>
        </w:rPr>
        <w:t>四川城市职业学院202</w:t>
      </w:r>
      <w:r>
        <w:rPr>
          <w:rFonts w:hint="eastAsia" w:ascii="宋体" w:hAnsi="宋体" w:cs="宋体"/>
          <w:b/>
          <w:color w:val="000000"/>
          <w:sz w:val="36"/>
          <w:szCs w:val="36"/>
          <w:lang w:val="en-US" w:eastAsia="zh-CN"/>
        </w:rPr>
        <w:t>3</w:t>
      </w:r>
      <w:r>
        <w:rPr>
          <w:rFonts w:hint="eastAsia" w:ascii="宋体" w:hAnsi="宋体" w:cs="宋体"/>
          <w:b/>
          <w:color w:val="000000"/>
          <w:sz w:val="36"/>
          <w:szCs w:val="36"/>
        </w:rPr>
        <w:t>年单独招生考试</w:t>
      </w:r>
    </w:p>
    <w:p>
      <w:pPr>
        <w:spacing w:line="500" w:lineRule="exact"/>
        <w:jc w:val="center"/>
        <w:rPr>
          <w:rFonts w:ascii="宋体" w:hAnsi="宋体" w:cs="宋体"/>
          <w:b/>
          <w:color w:val="000000"/>
          <w:sz w:val="36"/>
          <w:szCs w:val="36"/>
        </w:rPr>
      </w:pPr>
      <w:r>
        <w:rPr>
          <w:rFonts w:hint="eastAsia" w:ascii="宋体" w:hAnsi="宋体" w:cs="宋体"/>
          <w:b/>
          <w:color w:val="000000"/>
          <w:sz w:val="36"/>
          <w:szCs w:val="36"/>
        </w:rPr>
        <w:t>新能源汽车技术专业技能</w:t>
      </w:r>
      <w:r>
        <w:rPr>
          <w:rFonts w:ascii="宋体" w:hAnsi="宋体" w:cs="宋体"/>
          <w:b/>
          <w:color w:val="000000"/>
          <w:sz w:val="36"/>
          <w:szCs w:val="36"/>
        </w:rPr>
        <w:t>测试指南</w:t>
      </w:r>
    </w:p>
    <w:p>
      <w:pPr>
        <w:widowControl/>
        <w:snapToGrid w:val="0"/>
        <w:spacing w:line="240" w:lineRule="atLeast"/>
        <w:jc w:val="center"/>
        <w:rPr>
          <w:rFonts w:ascii="宋体" w:hAnsi="宋体" w:cs="宋体"/>
          <w:b/>
          <w:color w:val="000000"/>
          <w:sz w:val="36"/>
          <w:szCs w:val="36"/>
        </w:rPr>
      </w:pPr>
    </w:p>
    <w:p>
      <w:pPr>
        <w:pStyle w:val="17"/>
        <w:numPr>
          <w:ilvl w:val="0"/>
          <w:numId w:val="1"/>
        </w:numPr>
        <w:ind w:firstLine="111" w:firstLineChars="0"/>
        <w:rPr>
          <w:b/>
          <w:sz w:val="28"/>
          <w:szCs w:val="28"/>
        </w:rPr>
      </w:pPr>
      <w:r>
        <w:rPr>
          <w:rFonts w:hint="eastAsia"/>
          <w:b/>
          <w:sz w:val="28"/>
          <w:szCs w:val="28"/>
        </w:rPr>
        <w:t>考试性质</w:t>
      </w:r>
    </w:p>
    <w:p>
      <w:pPr>
        <w:spacing w:line="400" w:lineRule="exact"/>
        <w:ind w:firstLine="495" w:firstLineChars="177"/>
        <w:jc w:val="left"/>
        <w:rPr>
          <w:sz w:val="28"/>
          <w:szCs w:val="28"/>
        </w:rPr>
      </w:pPr>
      <w:r>
        <w:rPr>
          <w:rFonts w:hint="eastAsia"/>
          <w:sz w:val="28"/>
          <w:szCs w:val="28"/>
        </w:rPr>
        <w:t>单独招生技能</w:t>
      </w:r>
      <w:r>
        <w:rPr>
          <w:rFonts w:hint="eastAsia"/>
          <w:bCs/>
          <w:sz w:val="28"/>
          <w:szCs w:val="28"/>
        </w:rPr>
        <w:t>测试</w:t>
      </w:r>
      <w:r>
        <w:rPr>
          <w:rFonts w:hint="eastAsia"/>
          <w:sz w:val="28"/>
          <w:szCs w:val="28"/>
        </w:rPr>
        <w:t>是面向中等职业技术学院考生（对口高职）考生参加的选拔性考试，是单招考试的组成部分。本测试指南适用于中等职业技术学院考生（对口高职）参加新能源汽车技术专业人才的选拔。</w:t>
      </w:r>
    </w:p>
    <w:p>
      <w:pPr>
        <w:spacing w:line="400" w:lineRule="exact"/>
        <w:ind w:firstLine="495" w:firstLineChars="177"/>
        <w:jc w:val="left"/>
        <w:rPr>
          <w:sz w:val="28"/>
          <w:szCs w:val="28"/>
        </w:rPr>
      </w:pPr>
    </w:p>
    <w:p>
      <w:pPr>
        <w:pStyle w:val="17"/>
        <w:numPr>
          <w:ilvl w:val="0"/>
          <w:numId w:val="1"/>
        </w:numPr>
        <w:ind w:hanging="30" w:firstLineChars="0"/>
        <w:rPr>
          <w:b/>
          <w:sz w:val="28"/>
          <w:szCs w:val="28"/>
        </w:rPr>
      </w:pPr>
      <w:r>
        <w:rPr>
          <w:rFonts w:hint="eastAsia"/>
          <w:b/>
          <w:sz w:val="28"/>
          <w:szCs w:val="28"/>
        </w:rPr>
        <w:t>制定依据</w:t>
      </w:r>
    </w:p>
    <w:p>
      <w:pPr>
        <w:spacing w:line="400" w:lineRule="exact"/>
        <w:ind w:firstLine="495" w:firstLineChars="177"/>
        <w:jc w:val="left"/>
        <w:rPr>
          <w:sz w:val="28"/>
          <w:szCs w:val="28"/>
        </w:rPr>
      </w:pPr>
      <w:r>
        <w:rPr>
          <w:rFonts w:hint="eastAsia"/>
          <w:sz w:val="28"/>
          <w:szCs w:val="28"/>
        </w:rPr>
        <w:t>以教育部中等职业学校新能源汽车技术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p>
    <w:p>
      <w:pPr>
        <w:spacing w:line="400" w:lineRule="exact"/>
        <w:ind w:firstLine="495" w:firstLineChars="177"/>
        <w:jc w:val="left"/>
        <w:rPr>
          <w:sz w:val="28"/>
          <w:szCs w:val="28"/>
        </w:rPr>
      </w:pPr>
    </w:p>
    <w:p>
      <w:pPr>
        <w:pStyle w:val="17"/>
        <w:numPr>
          <w:ilvl w:val="0"/>
          <w:numId w:val="1"/>
        </w:numPr>
        <w:ind w:hanging="30" w:firstLineChars="0"/>
        <w:rPr>
          <w:b/>
          <w:sz w:val="28"/>
          <w:szCs w:val="28"/>
        </w:rPr>
      </w:pPr>
      <w:r>
        <w:rPr>
          <w:rFonts w:hint="eastAsia"/>
          <w:b/>
          <w:sz w:val="28"/>
          <w:szCs w:val="28"/>
        </w:rPr>
        <w:t>考核方法</w:t>
      </w:r>
    </w:p>
    <w:p>
      <w:pPr>
        <w:spacing w:line="400" w:lineRule="exact"/>
        <w:ind w:firstLine="495" w:firstLineChars="177"/>
        <w:jc w:val="left"/>
        <w:rPr>
          <w:sz w:val="28"/>
          <w:szCs w:val="28"/>
        </w:rPr>
      </w:pPr>
      <w:r>
        <w:rPr>
          <w:rFonts w:hint="eastAsia"/>
          <w:sz w:val="28"/>
          <w:szCs w:val="28"/>
        </w:rPr>
        <w:t>采用专业</w:t>
      </w:r>
      <w:r>
        <w:rPr>
          <w:sz w:val="28"/>
          <w:szCs w:val="28"/>
        </w:rPr>
        <w:t>技能测试</w:t>
      </w:r>
      <w:r>
        <w:rPr>
          <w:rFonts w:hint="eastAsia"/>
          <w:sz w:val="28"/>
          <w:szCs w:val="28"/>
        </w:rPr>
        <w:t>的形式，考官根据考生面试表现独立评分。采用实际操作的方式进行，考试时间为20分钟。考生现场自行确定三个项目中的一项为考试项目。</w:t>
      </w:r>
    </w:p>
    <w:p>
      <w:pPr>
        <w:spacing w:line="400" w:lineRule="exact"/>
        <w:ind w:firstLine="495" w:firstLineChars="177"/>
        <w:jc w:val="left"/>
        <w:rPr>
          <w:sz w:val="28"/>
          <w:szCs w:val="28"/>
        </w:rPr>
      </w:pPr>
    </w:p>
    <w:p>
      <w:pPr>
        <w:pStyle w:val="17"/>
        <w:numPr>
          <w:ilvl w:val="0"/>
          <w:numId w:val="1"/>
        </w:numPr>
        <w:ind w:hanging="30" w:firstLineChars="0"/>
        <w:rPr>
          <w:b/>
          <w:sz w:val="28"/>
          <w:szCs w:val="28"/>
        </w:rPr>
      </w:pPr>
      <w:r>
        <w:rPr>
          <w:rFonts w:hint="eastAsia"/>
          <w:b/>
          <w:sz w:val="28"/>
          <w:szCs w:val="28"/>
        </w:rPr>
        <w:t>考核要点及形式</w:t>
      </w:r>
    </w:p>
    <w:p>
      <w:pPr>
        <w:spacing w:line="400" w:lineRule="exact"/>
        <w:ind w:firstLine="495" w:firstLineChars="177"/>
        <w:jc w:val="left"/>
        <w:rPr>
          <w:sz w:val="28"/>
          <w:szCs w:val="28"/>
        </w:rPr>
      </w:pPr>
      <w:r>
        <w:rPr>
          <w:rFonts w:hint="eastAsia"/>
          <w:sz w:val="28"/>
          <w:szCs w:val="28"/>
        </w:rPr>
        <w:t>职业技能考核以技能操作考核为主、职业素养考查为辅对考生进行考评。主要考查考生对专业基础技能的掌握程度，以及运用所学知识分析解决实际问题的能力，全面反映知识与技能、过程与方法、能力与素质等专业培养目标。</w:t>
      </w:r>
    </w:p>
    <w:tbl>
      <w:tblPr>
        <w:tblStyle w:val="9"/>
        <w:tblpPr w:leftFromText="180" w:rightFromText="180" w:vertAnchor="text" w:tblpY="59"/>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47"/>
        <w:gridCol w:w="2551"/>
        <w:gridCol w:w="31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3" w:hRule="atLeast"/>
        </w:trPr>
        <w:tc>
          <w:tcPr>
            <w:tcW w:w="2547" w:type="dxa"/>
            <w:vAlign w:val="center"/>
          </w:tcPr>
          <w:p>
            <w:pPr>
              <w:spacing w:line="400" w:lineRule="exact"/>
              <w:jc w:val="center"/>
              <w:rPr>
                <w:b/>
              </w:rPr>
            </w:pPr>
            <w:r>
              <w:rPr>
                <w:rFonts w:hint="eastAsia"/>
                <w:b/>
                <w:bCs/>
                <w:szCs w:val="21"/>
              </w:rPr>
              <w:t>考核要点</w:t>
            </w:r>
          </w:p>
        </w:tc>
        <w:tc>
          <w:tcPr>
            <w:tcW w:w="2551" w:type="dxa"/>
            <w:vAlign w:val="center"/>
          </w:tcPr>
          <w:p>
            <w:pPr>
              <w:spacing w:line="400" w:lineRule="exact"/>
              <w:jc w:val="center"/>
              <w:rPr>
                <w:b/>
              </w:rPr>
            </w:pPr>
            <w:r>
              <w:rPr>
                <w:rFonts w:hint="eastAsia"/>
                <w:b/>
              </w:rPr>
              <w:t>考核</w:t>
            </w:r>
            <w:r>
              <w:rPr>
                <w:b/>
              </w:rPr>
              <w:t>形式</w:t>
            </w:r>
          </w:p>
        </w:tc>
        <w:tc>
          <w:tcPr>
            <w:tcW w:w="3198" w:type="dxa"/>
            <w:vAlign w:val="center"/>
          </w:tcPr>
          <w:p>
            <w:pPr>
              <w:spacing w:line="400" w:lineRule="exact"/>
              <w:jc w:val="center"/>
              <w:rPr>
                <w:b/>
              </w:rPr>
            </w:pPr>
            <w:r>
              <w:rPr>
                <w:rFonts w:hint="eastAsia"/>
                <w:b/>
                <w:bCs/>
                <w:szCs w:val="21"/>
              </w:rPr>
              <w:t>考核内容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trPr>
        <w:tc>
          <w:tcPr>
            <w:tcW w:w="2547" w:type="dxa"/>
            <w:vAlign w:val="center"/>
          </w:tcPr>
          <w:p>
            <w:r>
              <w:rPr>
                <w:rFonts w:hint="eastAsia"/>
              </w:rPr>
              <w:t>项目一、汽车发动机机油的检查</w:t>
            </w:r>
          </w:p>
        </w:tc>
        <w:tc>
          <w:tcPr>
            <w:tcW w:w="2551" w:type="dxa"/>
            <w:vMerge w:val="restart"/>
            <w:vAlign w:val="center"/>
          </w:tcPr>
          <w:p>
            <w:r>
              <w:rPr>
                <w:rFonts w:hint="eastAsia"/>
              </w:rPr>
              <w:t>实操(现场自行3选1)</w:t>
            </w:r>
          </w:p>
        </w:tc>
        <w:tc>
          <w:tcPr>
            <w:tcW w:w="3198" w:type="dxa"/>
            <w:vAlign w:val="center"/>
          </w:tcPr>
          <w:p>
            <w:r>
              <w:rPr>
                <w:rFonts w:hint="eastAsia"/>
              </w:rPr>
              <w:t>工具的选取与使用、检查发动机油牌号、检查发动机油位和油质的检查、职业素养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trPr>
        <w:tc>
          <w:tcPr>
            <w:tcW w:w="2547" w:type="dxa"/>
            <w:vAlign w:val="center"/>
          </w:tcPr>
          <w:p>
            <w:r>
              <w:rPr>
                <w:rFonts w:hint="eastAsia"/>
              </w:rPr>
              <w:t>项目二、</w:t>
            </w:r>
            <w:r>
              <w:t>发动机气缸测量</w:t>
            </w:r>
          </w:p>
        </w:tc>
        <w:tc>
          <w:tcPr>
            <w:tcW w:w="2551" w:type="dxa"/>
            <w:vMerge w:val="continue"/>
            <w:vAlign w:val="center"/>
          </w:tcPr>
          <w:p/>
        </w:tc>
        <w:tc>
          <w:tcPr>
            <w:tcW w:w="3198" w:type="dxa"/>
            <w:vAlign w:val="center"/>
          </w:tcPr>
          <w:p>
            <w:r>
              <w:t>合理选择和规范使用工具</w:t>
            </w:r>
            <w:r>
              <w:rPr>
                <w:rFonts w:hint="eastAsia"/>
              </w:rPr>
              <w:t>、</w:t>
            </w:r>
            <w:r>
              <w:t>圆度、圆柱度</w:t>
            </w:r>
            <w:r>
              <w:rPr>
                <w:rFonts w:hint="eastAsia"/>
              </w:rPr>
              <w:t>正确计算、职业素养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4" w:hRule="atLeast"/>
        </w:trPr>
        <w:tc>
          <w:tcPr>
            <w:tcW w:w="2547" w:type="dxa"/>
            <w:vAlign w:val="center"/>
          </w:tcPr>
          <w:p>
            <w:r>
              <w:rPr>
                <w:rFonts w:ascii="Times New Roman" w:hAnsi="Times New Roman" w:cs="Times New Roman"/>
              </w:rPr>
              <w:t>项目三、车用蓄电池的检查与充电</w:t>
            </w:r>
          </w:p>
        </w:tc>
        <w:tc>
          <w:tcPr>
            <w:tcW w:w="2551" w:type="dxa"/>
            <w:vMerge w:val="continue"/>
            <w:vAlign w:val="center"/>
          </w:tcPr>
          <w:p/>
        </w:tc>
        <w:tc>
          <w:tcPr>
            <w:tcW w:w="3198" w:type="dxa"/>
            <w:vAlign w:val="center"/>
          </w:tcPr>
          <w:p>
            <w:r>
              <w:rPr>
                <w:rFonts w:ascii="Times New Roman" w:hAnsi="Times New Roman" w:cs="Times New Roman"/>
              </w:rPr>
              <w:t>工具、仪器的选取与使用、完成蓄电池电压测试及充电、重要仪器的安全操作流程、职业素养</w:t>
            </w:r>
          </w:p>
        </w:tc>
      </w:tr>
    </w:tbl>
    <w:p>
      <w:pPr>
        <w:spacing w:line="400" w:lineRule="exact"/>
        <w:ind w:firstLine="495" w:firstLineChars="177"/>
        <w:jc w:val="left"/>
        <w:rPr>
          <w:sz w:val="28"/>
          <w:szCs w:val="28"/>
        </w:rPr>
      </w:pPr>
    </w:p>
    <w:p>
      <w:pPr>
        <w:pStyle w:val="17"/>
        <w:numPr>
          <w:ilvl w:val="0"/>
          <w:numId w:val="1"/>
        </w:numPr>
        <w:ind w:hanging="30" w:firstLineChars="0"/>
        <w:rPr>
          <w:b/>
          <w:sz w:val="28"/>
          <w:szCs w:val="28"/>
        </w:rPr>
      </w:pPr>
      <w:r>
        <w:rPr>
          <w:rFonts w:hint="eastAsia"/>
          <w:b/>
          <w:sz w:val="28"/>
          <w:szCs w:val="28"/>
        </w:rPr>
        <w:t>考核标准</w:t>
      </w:r>
      <w:r>
        <w:rPr>
          <w:b/>
          <w:sz w:val="28"/>
          <w:szCs w:val="28"/>
        </w:rPr>
        <w:t>及分值</w:t>
      </w:r>
    </w:p>
    <w:p>
      <w:pPr>
        <w:ind w:firstLine="480" w:firstLineChars="200"/>
        <w:rPr>
          <w:b/>
          <w:sz w:val="28"/>
          <w:szCs w:val="28"/>
        </w:rPr>
      </w:pPr>
      <w:r>
        <w:rPr>
          <w:rFonts w:hint="eastAsia"/>
          <w:sz w:val="24"/>
          <w:szCs w:val="24"/>
        </w:rPr>
        <w:t>项目一、汽车发动机机油的检查</w:t>
      </w:r>
    </w:p>
    <w:tbl>
      <w:tblPr>
        <w:tblStyle w:val="8"/>
        <w:tblW w:w="9320" w:type="dxa"/>
        <w:tblInd w:w="-10" w:type="dxa"/>
        <w:tblLayout w:type="autofit"/>
        <w:tblCellMar>
          <w:top w:w="0" w:type="dxa"/>
          <w:left w:w="108" w:type="dxa"/>
          <w:bottom w:w="0" w:type="dxa"/>
          <w:right w:w="108" w:type="dxa"/>
        </w:tblCellMar>
      </w:tblPr>
      <w:tblGrid>
        <w:gridCol w:w="3020"/>
        <w:gridCol w:w="1940"/>
        <w:gridCol w:w="3280"/>
        <w:gridCol w:w="1080"/>
      </w:tblGrid>
      <w:tr>
        <w:tblPrEx>
          <w:tblCellMar>
            <w:top w:w="0" w:type="dxa"/>
            <w:left w:w="108" w:type="dxa"/>
            <w:bottom w:w="0" w:type="dxa"/>
            <w:right w:w="108" w:type="dxa"/>
          </w:tblCellMar>
        </w:tblPrEx>
        <w:trPr>
          <w:trHeight w:val="300" w:hRule="atLeast"/>
        </w:trPr>
        <w:tc>
          <w:tcPr>
            <w:tcW w:w="4960" w:type="dxa"/>
            <w:gridSpan w:val="2"/>
            <w:tcBorders>
              <w:top w:val="single" w:color="auto" w:sz="8" w:space="0"/>
              <w:left w:val="single" w:color="7F7F7F" w:sz="8" w:space="0"/>
              <w:bottom w:val="single" w:color="auto" w:sz="8" w:space="0"/>
              <w:right w:val="single" w:color="7F7F7F"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考核内容</w:t>
            </w:r>
          </w:p>
        </w:tc>
        <w:tc>
          <w:tcPr>
            <w:tcW w:w="3280" w:type="dxa"/>
            <w:tcBorders>
              <w:top w:val="single" w:color="7F7F7F" w:sz="8" w:space="0"/>
              <w:left w:val="nil"/>
              <w:bottom w:val="single" w:color="7F7F7F" w:sz="8" w:space="0"/>
              <w:right w:val="single" w:color="7F7F7F"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考核要求</w:t>
            </w:r>
          </w:p>
        </w:tc>
        <w:tc>
          <w:tcPr>
            <w:tcW w:w="1080" w:type="dxa"/>
            <w:tcBorders>
              <w:top w:val="single" w:color="7F7F7F" w:sz="8" w:space="0"/>
              <w:left w:val="nil"/>
              <w:bottom w:val="single" w:color="7F7F7F" w:sz="8" w:space="0"/>
              <w:right w:val="single" w:color="7F7F7F"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比例</w:t>
            </w:r>
          </w:p>
        </w:tc>
      </w:tr>
      <w:tr>
        <w:tblPrEx>
          <w:tblCellMar>
            <w:top w:w="0" w:type="dxa"/>
            <w:left w:w="108" w:type="dxa"/>
            <w:bottom w:w="0" w:type="dxa"/>
            <w:right w:w="108" w:type="dxa"/>
          </w:tblCellMar>
        </w:tblPrEx>
        <w:trPr>
          <w:trHeight w:val="525" w:hRule="atLeast"/>
        </w:trPr>
        <w:tc>
          <w:tcPr>
            <w:tcW w:w="3020" w:type="dxa"/>
            <w:tcBorders>
              <w:top w:val="nil"/>
              <w:left w:val="single" w:color="7F7F7F" w:sz="8" w:space="0"/>
              <w:bottom w:val="nil"/>
              <w:right w:val="single" w:color="7F7F7F" w:sz="8" w:space="0"/>
            </w:tcBorders>
            <w:shd w:val="clear" w:color="auto" w:fill="auto"/>
            <w:vAlign w:val="center"/>
          </w:tcPr>
          <w:p>
            <w:pPr>
              <w:widowControl/>
              <w:jc w:val="center"/>
              <w:rPr>
                <w:rFonts w:ascii="Calibri" w:hAnsi="Calibri" w:eastAsia="等线" w:cs="Calibri"/>
                <w:color w:val="000000"/>
                <w:kern w:val="0"/>
                <w:szCs w:val="21"/>
              </w:rPr>
            </w:pPr>
            <w:r>
              <w:rPr>
                <w:rFonts w:ascii="Calibri" w:hAnsi="Calibri" w:eastAsia="等线" w:cs="Calibri"/>
                <w:color w:val="000000"/>
                <w:kern w:val="0"/>
                <w:szCs w:val="21"/>
              </w:rPr>
              <w:t>　</w:t>
            </w:r>
          </w:p>
        </w:tc>
        <w:tc>
          <w:tcPr>
            <w:tcW w:w="1940" w:type="dxa"/>
            <w:tcBorders>
              <w:top w:val="nil"/>
              <w:left w:val="nil"/>
              <w:bottom w:val="single" w:color="auto" w:sz="8" w:space="0"/>
              <w:right w:val="single" w:color="7F7F7F"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场地及设备的预检</w:t>
            </w:r>
          </w:p>
        </w:tc>
        <w:tc>
          <w:tcPr>
            <w:tcW w:w="3280" w:type="dxa"/>
            <w:tcBorders>
              <w:top w:val="nil"/>
              <w:left w:val="nil"/>
              <w:bottom w:val="single" w:color="auto" w:sz="8" w:space="0"/>
              <w:right w:val="single" w:color="7F7F7F"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作业思路清晰，任务明确无等待现象</w:t>
            </w:r>
          </w:p>
        </w:tc>
        <w:tc>
          <w:tcPr>
            <w:tcW w:w="1080" w:type="dxa"/>
            <w:tcBorders>
              <w:top w:val="nil"/>
              <w:left w:val="nil"/>
              <w:bottom w:val="single" w:color="auto" w:sz="8" w:space="0"/>
              <w:right w:val="single" w:color="7F7F7F"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r>
      <w:tr>
        <w:tblPrEx>
          <w:tblCellMar>
            <w:top w:w="0" w:type="dxa"/>
            <w:left w:w="108" w:type="dxa"/>
            <w:bottom w:w="0" w:type="dxa"/>
            <w:right w:w="108" w:type="dxa"/>
          </w:tblCellMar>
        </w:tblPrEx>
        <w:trPr>
          <w:trHeight w:val="525" w:hRule="atLeast"/>
        </w:trPr>
        <w:tc>
          <w:tcPr>
            <w:tcW w:w="3020" w:type="dxa"/>
            <w:vMerge w:val="restart"/>
            <w:tcBorders>
              <w:top w:val="nil"/>
              <w:left w:val="single" w:color="7F7F7F" w:sz="8" w:space="0"/>
              <w:bottom w:val="single" w:color="7F7F7F" w:sz="8" w:space="0"/>
              <w:right w:val="single" w:color="7F7F7F"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技能操作过程</w:t>
            </w:r>
          </w:p>
        </w:tc>
        <w:tc>
          <w:tcPr>
            <w:tcW w:w="1940" w:type="dxa"/>
            <w:tcBorders>
              <w:top w:val="nil"/>
              <w:left w:val="nil"/>
              <w:bottom w:val="nil"/>
              <w:right w:val="single" w:color="7F7F7F"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工具的使用</w:t>
            </w:r>
          </w:p>
        </w:tc>
        <w:tc>
          <w:tcPr>
            <w:tcW w:w="3280" w:type="dxa"/>
            <w:tcBorders>
              <w:top w:val="nil"/>
              <w:left w:val="nil"/>
              <w:bottom w:val="nil"/>
              <w:right w:val="single" w:color="7F7F7F"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选用和使用工具正确，工具摆放整齐，工具不能掉地</w:t>
            </w:r>
          </w:p>
        </w:tc>
        <w:tc>
          <w:tcPr>
            <w:tcW w:w="1080" w:type="dxa"/>
            <w:tcBorders>
              <w:top w:val="nil"/>
              <w:left w:val="nil"/>
              <w:bottom w:val="nil"/>
              <w:right w:val="single" w:color="7F7F7F"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r>
      <w:tr>
        <w:tblPrEx>
          <w:tblCellMar>
            <w:top w:w="0" w:type="dxa"/>
            <w:left w:w="108" w:type="dxa"/>
            <w:bottom w:w="0" w:type="dxa"/>
            <w:right w:w="108" w:type="dxa"/>
          </w:tblCellMar>
        </w:tblPrEx>
        <w:trPr>
          <w:trHeight w:val="525" w:hRule="atLeast"/>
        </w:trPr>
        <w:tc>
          <w:tcPr>
            <w:tcW w:w="3020" w:type="dxa"/>
            <w:vMerge w:val="continue"/>
            <w:tcBorders>
              <w:top w:val="nil"/>
              <w:left w:val="single" w:color="7F7F7F" w:sz="8" w:space="0"/>
              <w:bottom w:val="single" w:color="7F7F7F" w:sz="8" w:space="0"/>
              <w:right w:val="single" w:color="7F7F7F" w:sz="8" w:space="0"/>
            </w:tcBorders>
            <w:vAlign w:val="center"/>
          </w:tcPr>
          <w:p>
            <w:pPr>
              <w:widowControl/>
              <w:jc w:val="left"/>
              <w:rPr>
                <w:rFonts w:ascii="宋体" w:hAnsi="宋体" w:eastAsia="宋体" w:cs="宋体"/>
                <w:b/>
                <w:bCs/>
                <w:color w:val="000000"/>
                <w:kern w:val="0"/>
                <w:szCs w:val="21"/>
              </w:rPr>
            </w:pPr>
          </w:p>
        </w:tc>
        <w:tc>
          <w:tcPr>
            <w:tcW w:w="1940" w:type="dxa"/>
            <w:tcBorders>
              <w:top w:val="single" w:color="7F7F7F" w:sz="8" w:space="0"/>
              <w:left w:val="nil"/>
              <w:bottom w:val="single" w:color="7F7F7F" w:sz="8" w:space="0"/>
              <w:right w:val="single" w:color="7F7F7F"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检查发动机油牌号</w:t>
            </w:r>
          </w:p>
        </w:tc>
        <w:tc>
          <w:tcPr>
            <w:tcW w:w="3280" w:type="dxa"/>
            <w:tcBorders>
              <w:top w:val="single" w:color="7F7F7F" w:sz="8" w:space="0"/>
              <w:left w:val="nil"/>
              <w:bottom w:val="single" w:color="7F7F7F" w:sz="8" w:space="0"/>
              <w:right w:val="single" w:color="7F7F7F"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检验部位正确、粘度等级判断正确、使用环境温度范围判断正确</w:t>
            </w:r>
          </w:p>
        </w:tc>
        <w:tc>
          <w:tcPr>
            <w:tcW w:w="1080" w:type="dxa"/>
            <w:tcBorders>
              <w:top w:val="single" w:color="7F7F7F" w:sz="8" w:space="0"/>
              <w:left w:val="nil"/>
              <w:bottom w:val="single" w:color="7F7F7F" w:sz="8" w:space="0"/>
              <w:right w:val="single" w:color="7F7F7F"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w:t>
            </w:r>
          </w:p>
        </w:tc>
      </w:tr>
      <w:tr>
        <w:tblPrEx>
          <w:tblCellMar>
            <w:top w:w="0" w:type="dxa"/>
            <w:left w:w="108" w:type="dxa"/>
            <w:bottom w:w="0" w:type="dxa"/>
            <w:right w:w="108" w:type="dxa"/>
          </w:tblCellMar>
        </w:tblPrEx>
        <w:trPr>
          <w:trHeight w:val="300" w:hRule="atLeast"/>
        </w:trPr>
        <w:tc>
          <w:tcPr>
            <w:tcW w:w="3020" w:type="dxa"/>
            <w:vMerge w:val="continue"/>
            <w:tcBorders>
              <w:top w:val="nil"/>
              <w:left w:val="single" w:color="7F7F7F" w:sz="8" w:space="0"/>
              <w:bottom w:val="single" w:color="7F7F7F" w:sz="8" w:space="0"/>
              <w:right w:val="single" w:color="7F7F7F" w:sz="8" w:space="0"/>
            </w:tcBorders>
            <w:vAlign w:val="center"/>
          </w:tcPr>
          <w:p>
            <w:pPr>
              <w:widowControl/>
              <w:jc w:val="left"/>
              <w:rPr>
                <w:rFonts w:ascii="宋体" w:hAnsi="宋体" w:eastAsia="宋体" w:cs="宋体"/>
                <w:b/>
                <w:bCs/>
                <w:color w:val="000000"/>
                <w:kern w:val="0"/>
                <w:szCs w:val="21"/>
              </w:rPr>
            </w:pPr>
          </w:p>
        </w:tc>
        <w:tc>
          <w:tcPr>
            <w:tcW w:w="1940" w:type="dxa"/>
            <w:tcBorders>
              <w:top w:val="nil"/>
              <w:left w:val="nil"/>
              <w:bottom w:val="nil"/>
              <w:right w:val="single" w:color="7F7F7F"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检查发动机油油位</w:t>
            </w:r>
          </w:p>
        </w:tc>
        <w:tc>
          <w:tcPr>
            <w:tcW w:w="3280" w:type="dxa"/>
            <w:tcBorders>
              <w:top w:val="nil"/>
              <w:left w:val="nil"/>
              <w:bottom w:val="nil"/>
              <w:right w:val="single" w:color="7F7F7F"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检查方法正确、技术要求叙述正确</w:t>
            </w:r>
          </w:p>
        </w:tc>
        <w:tc>
          <w:tcPr>
            <w:tcW w:w="1080" w:type="dxa"/>
            <w:tcBorders>
              <w:top w:val="nil"/>
              <w:left w:val="nil"/>
              <w:bottom w:val="nil"/>
              <w:right w:val="single" w:color="7F7F7F"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25%</w:t>
            </w:r>
          </w:p>
        </w:tc>
      </w:tr>
      <w:tr>
        <w:tblPrEx>
          <w:tblCellMar>
            <w:top w:w="0" w:type="dxa"/>
            <w:left w:w="108" w:type="dxa"/>
            <w:bottom w:w="0" w:type="dxa"/>
            <w:right w:w="108" w:type="dxa"/>
          </w:tblCellMar>
        </w:tblPrEx>
        <w:trPr>
          <w:trHeight w:val="510" w:hRule="atLeast"/>
        </w:trPr>
        <w:tc>
          <w:tcPr>
            <w:tcW w:w="3020" w:type="dxa"/>
            <w:vMerge w:val="continue"/>
            <w:tcBorders>
              <w:top w:val="nil"/>
              <w:left w:val="single" w:color="7F7F7F" w:sz="8" w:space="0"/>
              <w:bottom w:val="single" w:color="7F7F7F" w:sz="8" w:space="0"/>
              <w:right w:val="single" w:color="7F7F7F" w:sz="8" w:space="0"/>
            </w:tcBorders>
            <w:vAlign w:val="center"/>
          </w:tcPr>
          <w:p>
            <w:pPr>
              <w:widowControl/>
              <w:jc w:val="left"/>
              <w:rPr>
                <w:rFonts w:ascii="宋体" w:hAnsi="宋体" w:eastAsia="宋体" w:cs="宋体"/>
                <w:b/>
                <w:bCs/>
                <w:color w:val="000000"/>
                <w:kern w:val="0"/>
                <w:szCs w:val="21"/>
              </w:rPr>
            </w:pPr>
          </w:p>
        </w:tc>
        <w:tc>
          <w:tcPr>
            <w:tcW w:w="1940" w:type="dxa"/>
            <w:vMerge w:val="restart"/>
            <w:tcBorders>
              <w:top w:val="single" w:color="7F7F7F" w:sz="8" w:space="0"/>
              <w:left w:val="single" w:color="7F7F7F" w:sz="8" w:space="0"/>
              <w:bottom w:val="single" w:color="7F7F7F" w:sz="8" w:space="0"/>
              <w:right w:val="single" w:color="7F7F7F"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检查发动机油质量</w:t>
            </w:r>
          </w:p>
        </w:tc>
        <w:tc>
          <w:tcPr>
            <w:tcW w:w="3280" w:type="dxa"/>
            <w:tcBorders>
              <w:top w:val="single" w:color="7F7F7F" w:sz="8" w:space="0"/>
              <w:left w:val="nil"/>
              <w:bottom w:val="nil"/>
              <w:right w:val="single" w:color="7F7F7F"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清洁状况判断正确、有无异物判断正确</w:t>
            </w:r>
          </w:p>
        </w:tc>
        <w:tc>
          <w:tcPr>
            <w:tcW w:w="1080" w:type="dxa"/>
            <w:vMerge w:val="restart"/>
            <w:tcBorders>
              <w:top w:val="single" w:color="7F7F7F" w:sz="8" w:space="0"/>
              <w:left w:val="single" w:color="7F7F7F" w:sz="8" w:space="0"/>
              <w:bottom w:val="single" w:color="7F7F7F" w:sz="8" w:space="0"/>
              <w:right w:val="single" w:color="7F7F7F"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w:t>
            </w:r>
          </w:p>
        </w:tc>
      </w:tr>
      <w:tr>
        <w:tblPrEx>
          <w:tblCellMar>
            <w:top w:w="0" w:type="dxa"/>
            <w:left w:w="108" w:type="dxa"/>
            <w:bottom w:w="0" w:type="dxa"/>
            <w:right w:w="108" w:type="dxa"/>
          </w:tblCellMar>
        </w:tblPrEx>
        <w:trPr>
          <w:trHeight w:val="300" w:hRule="atLeast"/>
        </w:trPr>
        <w:tc>
          <w:tcPr>
            <w:tcW w:w="3020" w:type="dxa"/>
            <w:vMerge w:val="continue"/>
            <w:tcBorders>
              <w:top w:val="nil"/>
              <w:left w:val="single" w:color="7F7F7F" w:sz="8" w:space="0"/>
              <w:bottom w:val="single" w:color="7F7F7F" w:sz="8" w:space="0"/>
              <w:right w:val="single" w:color="7F7F7F" w:sz="8" w:space="0"/>
            </w:tcBorders>
            <w:vAlign w:val="center"/>
          </w:tcPr>
          <w:p>
            <w:pPr>
              <w:widowControl/>
              <w:jc w:val="left"/>
              <w:rPr>
                <w:rFonts w:ascii="宋体" w:hAnsi="宋体" w:eastAsia="宋体" w:cs="宋体"/>
                <w:b/>
                <w:bCs/>
                <w:color w:val="000000"/>
                <w:kern w:val="0"/>
                <w:szCs w:val="21"/>
              </w:rPr>
            </w:pPr>
          </w:p>
        </w:tc>
        <w:tc>
          <w:tcPr>
            <w:tcW w:w="1940" w:type="dxa"/>
            <w:vMerge w:val="continue"/>
            <w:tcBorders>
              <w:top w:val="single" w:color="7F7F7F" w:sz="8" w:space="0"/>
              <w:left w:val="single" w:color="7F7F7F" w:sz="8" w:space="0"/>
              <w:bottom w:val="single" w:color="7F7F7F" w:sz="8" w:space="0"/>
              <w:right w:val="single" w:color="7F7F7F" w:sz="8" w:space="0"/>
            </w:tcBorders>
            <w:vAlign w:val="center"/>
          </w:tcPr>
          <w:p>
            <w:pPr>
              <w:widowControl/>
              <w:jc w:val="left"/>
              <w:rPr>
                <w:rFonts w:ascii="宋体" w:hAnsi="宋体" w:eastAsia="宋体" w:cs="宋体"/>
                <w:color w:val="000000"/>
                <w:kern w:val="0"/>
                <w:szCs w:val="21"/>
              </w:rPr>
            </w:pPr>
          </w:p>
        </w:tc>
        <w:tc>
          <w:tcPr>
            <w:tcW w:w="3280" w:type="dxa"/>
            <w:tcBorders>
              <w:top w:val="nil"/>
              <w:left w:val="nil"/>
              <w:bottom w:val="single" w:color="7F7F7F" w:sz="8" w:space="0"/>
              <w:right w:val="single" w:color="7F7F7F"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质量结果判断正确</w:t>
            </w:r>
          </w:p>
        </w:tc>
        <w:tc>
          <w:tcPr>
            <w:tcW w:w="1080" w:type="dxa"/>
            <w:vMerge w:val="continue"/>
            <w:tcBorders>
              <w:top w:val="single" w:color="7F7F7F" w:sz="8" w:space="0"/>
              <w:left w:val="single" w:color="7F7F7F" w:sz="8" w:space="0"/>
              <w:bottom w:val="single" w:color="7F7F7F" w:sz="8" w:space="0"/>
              <w:right w:val="single" w:color="7F7F7F" w:sz="8" w:space="0"/>
            </w:tcBorders>
            <w:vAlign w:val="center"/>
          </w:tcPr>
          <w:p>
            <w:pPr>
              <w:widowControl/>
              <w:jc w:val="left"/>
              <w:rPr>
                <w:rFonts w:ascii="Times New Roman" w:hAnsi="Times New Roman" w:eastAsia="等线" w:cs="Times New Roman"/>
                <w:color w:val="000000"/>
                <w:kern w:val="0"/>
                <w:szCs w:val="21"/>
              </w:rPr>
            </w:pPr>
          </w:p>
        </w:tc>
      </w:tr>
      <w:tr>
        <w:tblPrEx>
          <w:tblCellMar>
            <w:top w:w="0" w:type="dxa"/>
            <w:left w:w="108" w:type="dxa"/>
            <w:bottom w:w="0" w:type="dxa"/>
            <w:right w:w="108" w:type="dxa"/>
          </w:tblCellMar>
        </w:tblPrEx>
        <w:trPr>
          <w:trHeight w:val="525" w:hRule="atLeast"/>
        </w:trPr>
        <w:tc>
          <w:tcPr>
            <w:tcW w:w="3020" w:type="dxa"/>
            <w:vMerge w:val="restart"/>
            <w:tcBorders>
              <w:top w:val="nil"/>
              <w:left w:val="single" w:color="7F7F7F" w:sz="8" w:space="0"/>
              <w:bottom w:val="single" w:color="7F7F7F" w:sz="8" w:space="0"/>
              <w:right w:val="single" w:color="7F7F7F"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职业素养</w:t>
            </w:r>
          </w:p>
        </w:tc>
        <w:tc>
          <w:tcPr>
            <w:tcW w:w="1940" w:type="dxa"/>
            <w:tcBorders>
              <w:top w:val="nil"/>
              <w:left w:val="nil"/>
              <w:bottom w:val="nil"/>
              <w:right w:val="single" w:color="7F7F7F"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工具、地面的清洁</w:t>
            </w:r>
          </w:p>
        </w:tc>
        <w:tc>
          <w:tcPr>
            <w:tcW w:w="3280" w:type="dxa"/>
            <w:tcBorders>
              <w:top w:val="nil"/>
              <w:left w:val="nil"/>
              <w:bottom w:val="nil"/>
              <w:right w:val="single" w:color="7F7F7F"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工具使用后归回原位时必须清洁、地面始终保持清洁</w:t>
            </w:r>
          </w:p>
        </w:tc>
        <w:tc>
          <w:tcPr>
            <w:tcW w:w="1080" w:type="dxa"/>
            <w:tcBorders>
              <w:top w:val="nil"/>
              <w:left w:val="nil"/>
              <w:bottom w:val="nil"/>
              <w:right w:val="single" w:color="7F7F7F"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r>
      <w:tr>
        <w:tblPrEx>
          <w:tblCellMar>
            <w:top w:w="0" w:type="dxa"/>
            <w:left w:w="108" w:type="dxa"/>
            <w:bottom w:w="0" w:type="dxa"/>
            <w:right w:w="108" w:type="dxa"/>
          </w:tblCellMar>
        </w:tblPrEx>
        <w:trPr>
          <w:trHeight w:val="525" w:hRule="atLeast"/>
        </w:trPr>
        <w:tc>
          <w:tcPr>
            <w:tcW w:w="3020" w:type="dxa"/>
            <w:vMerge w:val="continue"/>
            <w:tcBorders>
              <w:top w:val="nil"/>
              <w:left w:val="single" w:color="7F7F7F" w:sz="8" w:space="0"/>
              <w:bottom w:val="single" w:color="7F7F7F" w:sz="8" w:space="0"/>
              <w:right w:val="single" w:color="7F7F7F" w:sz="8" w:space="0"/>
            </w:tcBorders>
            <w:vAlign w:val="center"/>
          </w:tcPr>
          <w:p>
            <w:pPr>
              <w:widowControl/>
              <w:jc w:val="left"/>
              <w:rPr>
                <w:rFonts w:ascii="宋体" w:hAnsi="宋体" w:eastAsia="宋体" w:cs="宋体"/>
                <w:b/>
                <w:bCs/>
                <w:color w:val="000000"/>
                <w:kern w:val="0"/>
                <w:szCs w:val="21"/>
              </w:rPr>
            </w:pPr>
          </w:p>
        </w:tc>
        <w:tc>
          <w:tcPr>
            <w:tcW w:w="1940" w:type="dxa"/>
            <w:tcBorders>
              <w:top w:val="single" w:color="7F7F7F" w:sz="8" w:space="0"/>
              <w:left w:val="nil"/>
              <w:bottom w:val="single" w:color="7F7F7F" w:sz="8" w:space="0"/>
              <w:right w:val="single" w:color="7F7F7F"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职业素养</w:t>
            </w:r>
          </w:p>
        </w:tc>
        <w:tc>
          <w:tcPr>
            <w:tcW w:w="3280" w:type="dxa"/>
            <w:tcBorders>
              <w:top w:val="single" w:color="7F7F7F" w:sz="8" w:space="0"/>
              <w:left w:val="nil"/>
              <w:bottom w:val="single" w:color="7F7F7F" w:sz="8" w:space="0"/>
              <w:right w:val="single" w:color="7F7F7F"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穿戴得体，安全操作，举止文明，问题表达清晰</w:t>
            </w:r>
          </w:p>
        </w:tc>
        <w:tc>
          <w:tcPr>
            <w:tcW w:w="1080" w:type="dxa"/>
            <w:tcBorders>
              <w:top w:val="single" w:color="7F7F7F" w:sz="8" w:space="0"/>
              <w:left w:val="nil"/>
              <w:bottom w:val="single" w:color="7F7F7F" w:sz="8" w:space="0"/>
              <w:right w:val="single" w:color="7F7F7F"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r>
    </w:tbl>
    <w:p>
      <w:pPr>
        <w:pStyle w:val="17"/>
        <w:spacing w:line="400" w:lineRule="exact"/>
        <w:ind w:left="456" w:firstLine="0" w:firstLineChars="0"/>
        <w:rPr>
          <w:sz w:val="24"/>
          <w:szCs w:val="24"/>
        </w:rPr>
      </w:pPr>
    </w:p>
    <w:p>
      <w:pPr>
        <w:spacing w:line="400" w:lineRule="exact"/>
        <w:ind w:firstLine="480" w:firstLineChars="200"/>
        <w:rPr>
          <w:sz w:val="24"/>
          <w:szCs w:val="24"/>
        </w:rPr>
      </w:pPr>
      <w:r>
        <w:rPr>
          <w:rFonts w:hint="eastAsia"/>
          <w:sz w:val="24"/>
          <w:szCs w:val="24"/>
        </w:rPr>
        <w:t>项目二、</w:t>
      </w:r>
      <w:r>
        <w:rPr>
          <w:sz w:val="24"/>
          <w:szCs w:val="24"/>
        </w:rPr>
        <w:t>发动机气缸测量</w:t>
      </w:r>
    </w:p>
    <w:tbl>
      <w:tblPr>
        <w:tblStyle w:val="8"/>
        <w:tblW w:w="9320" w:type="dxa"/>
        <w:tblInd w:w="-10" w:type="dxa"/>
        <w:tblLayout w:type="autofit"/>
        <w:tblCellMar>
          <w:top w:w="0" w:type="dxa"/>
          <w:left w:w="108" w:type="dxa"/>
          <w:bottom w:w="0" w:type="dxa"/>
          <w:right w:w="108" w:type="dxa"/>
        </w:tblCellMar>
      </w:tblPr>
      <w:tblGrid>
        <w:gridCol w:w="3020"/>
        <w:gridCol w:w="1940"/>
        <w:gridCol w:w="3280"/>
        <w:gridCol w:w="1080"/>
      </w:tblGrid>
      <w:tr>
        <w:tblPrEx>
          <w:tblCellMar>
            <w:top w:w="0" w:type="dxa"/>
            <w:left w:w="108" w:type="dxa"/>
            <w:bottom w:w="0" w:type="dxa"/>
            <w:right w:w="108" w:type="dxa"/>
          </w:tblCellMar>
        </w:tblPrEx>
        <w:trPr>
          <w:trHeight w:val="312" w:hRule="atLeast"/>
        </w:trPr>
        <w:tc>
          <w:tcPr>
            <w:tcW w:w="4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考核内容</w:t>
            </w:r>
          </w:p>
        </w:tc>
        <w:tc>
          <w:tcPr>
            <w:tcW w:w="32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考核要求</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比例</w:t>
            </w:r>
          </w:p>
        </w:tc>
      </w:tr>
      <w:tr>
        <w:tblPrEx>
          <w:tblCellMar>
            <w:top w:w="0" w:type="dxa"/>
            <w:left w:w="108" w:type="dxa"/>
            <w:bottom w:w="0" w:type="dxa"/>
            <w:right w:w="108" w:type="dxa"/>
          </w:tblCellMar>
        </w:tblPrEx>
        <w:trPr>
          <w:trHeight w:val="312" w:hRule="atLeast"/>
        </w:trPr>
        <w:tc>
          <w:tcPr>
            <w:tcW w:w="4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Cs w:val="21"/>
              </w:rPr>
            </w:pPr>
          </w:p>
        </w:tc>
        <w:tc>
          <w:tcPr>
            <w:tcW w:w="32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r>
      <w:tr>
        <w:tblPrEx>
          <w:tblCellMar>
            <w:top w:w="0" w:type="dxa"/>
            <w:left w:w="108" w:type="dxa"/>
            <w:bottom w:w="0" w:type="dxa"/>
            <w:right w:w="108" w:type="dxa"/>
          </w:tblCellMar>
        </w:tblPrEx>
        <w:trPr>
          <w:trHeight w:val="525" w:hRule="atLeast"/>
        </w:trPr>
        <w:tc>
          <w:tcPr>
            <w:tcW w:w="3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技能操作过程</w:t>
            </w: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场地及设备的预检</w:t>
            </w:r>
          </w:p>
        </w:tc>
        <w:tc>
          <w:tcPr>
            <w:tcW w:w="328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作业思路清晰、任务明确无等待现象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r>
      <w:tr>
        <w:tblPrEx>
          <w:tblCellMar>
            <w:top w:w="0" w:type="dxa"/>
            <w:left w:w="108" w:type="dxa"/>
            <w:bottom w:w="0" w:type="dxa"/>
            <w:right w:w="108" w:type="dxa"/>
          </w:tblCellMar>
        </w:tblPrEx>
        <w:trPr>
          <w:trHeight w:val="525" w:hRule="atLeast"/>
        </w:trPr>
        <w:tc>
          <w:tcPr>
            <w:tcW w:w="30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工量具使用的规范性</w:t>
            </w:r>
          </w:p>
        </w:tc>
        <w:tc>
          <w:tcPr>
            <w:tcW w:w="328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量缸表、千分尺校零、量缸表放入千分尺后校零</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r>
      <w:tr>
        <w:tblPrEx>
          <w:tblCellMar>
            <w:top w:w="0" w:type="dxa"/>
            <w:left w:w="108" w:type="dxa"/>
            <w:bottom w:w="0" w:type="dxa"/>
            <w:right w:w="108" w:type="dxa"/>
          </w:tblCellMar>
        </w:tblPrEx>
        <w:trPr>
          <w:trHeight w:val="1035" w:hRule="atLeast"/>
        </w:trPr>
        <w:tc>
          <w:tcPr>
            <w:tcW w:w="30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测量过程</w:t>
            </w:r>
          </w:p>
        </w:tc>
        <w:tc>
          <w:tcPr>
            <w:tcW w:w="328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用干净的布清洁量具、气缸，正确选择、安装测量杆，检测上、中、下三个截面横向、纵向六处直径值，并记录。</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50%</w:t>
            </w:r>
          </w:p>
        </w:tc>
      </w:tr>
      <w:tr>
        <w:tblPrEx>
          <w:tblCellMar>
            <w:top w:w="0" w:type="dxa"/>
            <w:left w:w="108" w:type="dxa"/>
            <w:bottom w:w="0" w:type="dxa"/>
            <w:right w:w="108" w:type="dxa"/>
          </w:tblCellMar>
        </w:tblPrEx>
        <w:trPr>
          <w:trHeight w:val="300" w:hRule="atLeast"/>
        </w:trPr>
        <w:tc>
          <w:tcPr>
            <w:tcW w:w="30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测量结果的分析</w:t>
            </w:r>
          </w:p>
        </w:tc>
        <w:tc>
          <w:tcPr>
            <w:tcW w:w="328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正确计算圆度、圆柱度</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w:t>
            </w:r>
          </w:p>
        </w:tc>
      </w:tr>
      <w:tr>
        <w:tblPrEx>
          <w:tblCellMar>
            <w:top w:w="0" w:type="dxa"/>
            <w:left w:w="108" w:type="dxa"/>
            <w:bottom w:w="0" w:type="dxa"/>
            <w:right w:w="108" w:type="dxa"/>
          </w:tblCellMar>
        </w:tblPrEx>
        <w:trPr>
          <w:trHeight w:val="525" w:hRule="atLeast"/>
        </w:trPr>
        <w:tc>
          <w:tcPr>
            <w:tcW w:w="3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职业素养</w:t>
            </w: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工具、地面的清洁</w:t>
            </w:r>
          </w:p>
        </w:tc>
        <w:tc>
          <w:tcPr>
            <w:tcW w:w="328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工具使用后归回原位时必须清洁，地面始终保持清洁。</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r>
      <w:tr>
        <w:tblPrEx>
          <w:tblCellMar>
            <w:top w:w="0" w:type="dxa"/>
            <w:left w:w="108" w:type="dxa"/>
            <w:bottom w:w="0" w:type="dxa"/>
            <w:right w:w="108" w:type="dxa"/>
          </w:tblCellMar>
        </w:tblPrEx>
        <w:trPr>
          <w:trHeight w:val="525" w:hRule="atLeast"/>
        </w:trPr>
        <w:tc>
          <w:tcPr>
            <w:tcW w:w="30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职业素养</w:t>
            </w:r>
          </w:p>
        </w:tc>
        <w:tc>
          <w:tcPr>
            <w:tcW w:w="328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穿戴得体，安全操作，举止文明，问题表达清晰</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r>
    </w:tbl>
    <w:p>
      <w:pPr>
        <w:spacing w:line="400" w:lineRule="exact"/>
        <w:ind w:firstLine="480" w:firstLineChars="200"/>
        <w:rPr>
          <w:rFonts w:ascii="Times New Roman" w:hAnsi="Times New Roman" w:cs="Times New Roman"/>
          <w:sz w:val="24"/>
          <w:szCs w:val="24"/>
        </w:rPr>
      </w:pP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项目三、车用蓄电池的检查与充电</w:t>
      </w:r>
    </w:p>
    <w:tbl>
      <w:tblPr>
        <w:tblStyle w:val="8"/>
        <w:tblW w:w="9320" w:type="dxa"/>
        <w:tblInd w:w="-10" w:type="dxa"/>
        <w:tblLayout w:type="autofit"/>
        <w:tblCellMar>
          <w:top w:w="0" w:type="dxa"/>
          <w:left w:w="108" w:type="dxa"/>
          <w:bottom w:w="0" w:type="dxa"/>
          <w:right w:w="108" w:type="dxa"/>
        </w:tblCellMar>
      </w:tblPr>
      <w:tblGrid>
        <w:gridCol w:w="3020"/>
        <w:gridCol w:w="1940"/>
        <w:gridCol w:w="3280"/>
        <w:gridCol w:w="1080"/>
      </w:tblGrid>
      <w:tr>
        <w:tblPrEx>
          <w:tblCellMar>
            <w:top w:w="0" w:type="dxa"/>
            <w:left w:w="108" w:type="dxa"/>
            <w:bottom w:w="0" w:type="dxa"/>
            <w:right w:w="108" w:type="dxa"/>
          </w:tblCellMar>
        </w:tblPrEx>
        <w:trPr>
          <w:trHeight w:val="312" w:hRule="atLeast"/>
        </w:trPr>
        <w:tc>
          <w:tcPr>
            <w:tcW w:w="4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考核内容</w:t>
            </w:r>
          </w:p>
        </w:tc>
        <w:tc>
          <w:tcPr>
            <w:tcW w:w="32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考核要求</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比例</w:t>
            </w:r>
          </w:p>
        </w:tc>
      </w:tr>
      <w:tr>
        <w:tblPrEx>
          <w:tblCellMar>
            <w:top w:w="0" w:type="dxa"/>
            <w:left w:w="108" w:type="dxa"/>
            <w:bottom w:w="0" w:type="dxa"/>
            <w:right w:w="108" w:type="dxa"/>
          </w:tblCellMar>
        </w:tblPrEx>
        <w:trPr>
          <w:trHeight w:val="312" w:hRule="atLeast"/>
        </w:trPr>
        <w:tc>
          <w:tcPr>
            <w:tcW w:w="4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宋体" w:cs="宋体"/>
                <w:b/>
                <w:bCs/>
                <w:color w:val="000000"/>
                <w:kern w:val="0"/>
                <w:szCs w:val="21"/>
              </w:rPr>
            </w:pPr>
          </w:p>
        </w:tc>
        <w:tc>
          <w:tcPr>
            <w:tcW w:w="32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color w:val="000000"/>
                <w:kern w:val="0"/>
                <w:szCs w:val="21"/>
              </w:rPr>
            </w:pPr>
          </w:p>
        </w:tc>
      </w:tr>
      <w:tr>
        <w:tblPrEx>
          <w:tblCellMar>
            <w:top w:w="0" w:type="dxa"/>
            <w:left w:w="108" w:type="dxa"/>
            <w:bottom w:w="0" w:type="dxa"/>
            <w:right w:w="108" w:type="dxa"/>
          </w:tblCellMar>
        </w:tblPrEx>
        <w:trPr>
          <w:trHeight w:val="525" w:hRule="atLeast"/>
        </w:trPr>
        <w:tc>
          <w:tcPr>
            <w:tcW w:w="3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技能操作过程</w:t>
            </w: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场地及设备的预检</w:t>
            </w:r>
          </w:p>
        </w:tc>
        <w:tc>
          <w:tcPr>
            <w:tcW w:w="328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作业思路清晰，任务明确无等待现象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r>
      <w:tr>
        <w:tblPrEx>
          <w:tblCellMar>
            <w:top w:w="0" w:type="dxa"/>
            <w:left w:w="108" w:type="dxa"/>
            <w:bottom w:w="0" w:type="dxa"/>
            <w:right w:w="108" w:type="dxa"/>
          </w:tblCellMar>
        </w:tblPrEx>
        <w:trPr>
          <w:trHeight w:val="525" w:hRule="atLeast"/>
        </w:trPr>
        <w:tc>
          <w:tcPr>
            <w:tcW w:w="30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工具的使用</w:t>
            </w:r>
          </w:p>
        </w:tc>
        <w:tc>
          <w:tcPr>
            <w:tcW w:w="328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选用仪器、工具正确，工具摆放整齐，工具不落地</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r>
      <w:tr>
        <w:tblPrEx>
          <w:tblCellMar>
            <w:top w:w="0" w:type="dxa"/>
            <w:left w:w="108" w:type="dxa"/>
            <w:bottom w:w="0" w:type="dxa"/>
            <w:right w:w="108" w:type="dxa"/>
          </w:tblCellMar>
        </w:tblPrEx>
        <w:trPr>
          <w:trHeight w:val="525" w:hRule="atLeast"/>
        </w:trPr>
        <w:tc>
          <w:tcPr>
            <w:tcW w:w="30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蓄电池电压检查</w:t>
            </w:r>
          </w:p>
        </w:tc>
        <w:tc>
          <w:tcPr>
            <w:tcW w:w="328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按正确方法检查，规范正确使用工具，检查结果正确</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w:t>
            </w:r>
          </w:p>
        </w:tc>
      </w:tr>
      <w:tr>
        <w:tblPrEx>
          <w:tblCellMar>
            <w:top w:w="0" w:type="dxa"/>
            <w:left w:w="108" w:type="dxa"/>
            <w:bottom w:w="0" w:type="dxa"/>
            <w:right w:w="108" w:type="dxa"/>
          </w:tblCellMar>
        </w:tblPrEx>
        <w:trPr>
          <w:trHeight w:val="300" w:hRule="atLeast"/>
        </w:trPr>
        <w:tc>
          <w:tcPr>
            <w:tcW w:w="30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拆下蓄电池</w:t>
            </w:r>
          </w:p>
        </w:tc>
        <w:tc>
          <w:tcPr>
            <w:tcW w:w="328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从车上正确拆下蓄电池</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20%</w:t>
            </w:r>
          </w:p>
        </w:tc>
      </w:tr>
      <w:tr>
        <w:tblPrEx>
          <w:tblCellMar>
            <w:top w:w="0" w:type="dxa"/>
            <w:left w:w="108" w:type="dxa"/>
            <w:bottom w:w="0" w:type="dxa"/>
            <w:right w:w="108" w:type="dxa"/>
          </w:tblCellMar>
        </w:tblPrEx>
        <w:trPr>
          <w:trHeight w:val="300" w:hRule="atLeast"/>
        </w:trPr>
        <w:tc>
          <w:tcPr>
            <w:tcW w:w="30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清洁蓄电池</w:t>
            </w:r>
          </w:p>
        </w:tc>
        <w:tc>
          <w:tcPr>
            <w:tcW w:w="328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清洁蓄电池表面及极桩</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r>
      <w:tr>
        <w:tblPrEx>
          <w:tblCellMar>
            <w:top w:w="0" w:type="dxa"/>
            <w:left w:w="108" w:type="dxa"/>
            <w:bottom w:w="0" w:type="dxa"/>
            <w:right w:w="108" w:type="dxa"/>
          </w:tblCellMar>
        </w:tblPrEx>
        <w:trPr>
          <w:trHeight w:val="810" w:hRule="atLeast"/>
        </w:trPr>
        <w:tc>
          <w:tcPr>
            <w:tcW w:w="30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对蓄电池进行充电</w:t>
            </w:r>
          </w:p>
        </w:tc>
        <w:tc>
          <w:tcPr>
            <w:tcW w:w="328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正确连接充电机与蓄电池</w:t>
            </w:r>
            <w:r>
              <w:rPr>
                <w:rFonts w:ascii="Times New Roman" w:hAnsi="Times New Roman" w:eastAsia="宋体" w:cs="Times New Roman"/>
                <w:color w:val="000000"/>
                <w:kern w:val="0"/>
                <w:szCs w:val="21"/>
              </w:rPr>
              <w:t>--</w:t>
            </w:r>
            <w:r>
              <w:rPr>
                <w:rFonts w:hint="eastAsia" w:ascii="宋体" w:hAnsi="宋体" w:eastAsia="宋体" w:cs="宋体"/>
                <w:color w:val="000000"/>
                <w:kern w:val="0"/>
                <w:szCs w:val="21"/>
              </w:rPr>
              <w:t>正确选择档位</w:t>
            </w:r>
            <w:r>
              <w:rPr>
                <w:rFonts w:ascii="Times New Roman" w:hAnsi="Times New Roman" w:eastAsia="宋体" w:cs="Times New Roman"/>
                <w:color w:val="000000"/>
                <w:kern w:val="0"/>
                <w:szCs w:val="21"/>
              </w:rPr>
              <w:t>-</w:t>
            </w:r>
            <w:r>
              <w:rPr>
                <w:rFonts w:hint="eastAsia" w:ascii="宋体" w:hAnsi="宋体" w:eastAsia="宋体" w:cs="宋体"/>
                <w:color w:val="000000"/>
                <w:kern w:val="0"/>
                <w:szCs w:val="21"/>
              </w:rPr>
              <w:t>打开充电机，充电操作按规范顺序操作</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r>
      <w:tr>
        <w:tblPrEx>
          <w:tblCellMar>
            <w:top w:w="0" w:type="dxa"/>
            <w:left w:w="108" w:type="dxa"/>
            <w:bottom w:w="0" w:type="dxa"/>
            <w:right w:w="108" w:type="dxa"/>
          </w:tblCellMar>
        </w:tblPrEx>
        <w:trPr>
          <w:trHeight w:val="300" w:hRule="atLeast"/>
        </w:trPr>
        <w:tc>
          <w:tcPr>
            <w:tcW w:w="30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装复</w:t>
            </w:r>
          </w:p>
        </w:tc>
        <w:tc>
          <w:tcPr>
            <w:tcW w:w="328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将蓄电池正确安装在车上</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r>
      <w:tr>
        <w:tblPrEx>
          <w:tblCellMar>
            <w:top w:w="0" w:type="dxa"/>
            <w:left w:w="108" w:type="dxa"/>
            <w:bottom w:w="0" w:type="dxa"/>
            <w:right w:w="108" w:type="dxa"/>
          </w:tblCellMar>
        </w:tblPrEx>
        <w:trPr>
          <w:trHeight w:val="525" w:hRule="atLeast"/>
        </w:trPr>
        <w:tc>
          <w:tcPr>
            <w:tcW w:w="30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职业素养</w:t>
            </w: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工具、地面的清洁</w:t>
            </w:r>
          </w:p>
        </w:tc>
        <w:tc>
          <w:tcPr>
            <w:tcW w:w="328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工具使用后归回原位时必须清洁，地面始终保持清洁</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r>
      <w:tr>
        <w:tblPrEx>
          <w:tblCellMar>
            <w:top w:w="0" w:type="dxa"/>
            <w:left w:w="108" w:type="dxa"/>
            <w:bottom w:w="0" w:type="dxa"/>
            <w:right w:w="108" w:type="dxa"/>
          </w:tblCellMar>
        </w:tblPrEx>
        <w:trPr>
          <w:trHeight w:val="525" w:hRule="atLeast"/>
        </w:trPr>
        <w:tc>
          <w:tcPr>
            <w:tcW w:w="30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color w:val="000000"/>
                <w:kern w:val="0"/>
                <w:szCs w:val="21"/>
              </w:rPr>
            </w:pPr>
          </w:p>
        </w:tc>
        <w:tc>
          <w:tcPr>
            <w:tcW w:w="19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职业素养</w:t>
            </w:r>
          </w:p>
        </w:tc>
        <w:tc>
          <w:tcPr>
            <w:tcW w:w="328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穿戴得体，安全操作。举止文明，问题表达清晰</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r>
    </w:tbl>
    <w:p>
      <w:pPr>
        <w:spacing w:line="400" w:lineRule="exact"/>
        <w:rPr>
          <w:rFonts w:ascii="Times New Roman" w:hAnsi="Times New Roman" w:cs="Times New Roman"/>
          <w:sz w:val="24"/>
          <w:szCs w:val="24"/>
        </w:rPr>
      </w:pPr>
    </w:p>
    <w:p>
      <w:pPr>
        <w:pStyle w:val="17"/>
        <w:numPr>
          <w:ilvl w:val="0"/>
          <w:numId w:val="1"/>
        </w:numPr>
        <w:ind w:hanging="30" w:firstLineChars="0"/>
        <w:rPr>
          <w:b/>
          <w:sz w:val="28"/>
          <w:szCs w:val="28"/>
        </w:rPr>
      </w:pPr>
      <w:r>
        <w:rPr>
          <w:rFonts w:hint="eastAsia"/>
          <w:b/>
          <w:sz w:val="28"/>
          <w:szCs w:val="28"/>
        </w:rPr>
        <w:t>其他事项</w:t>
      </w:r>
    </w:p>
    <w:p>
      <w:pPr>
        <w:spacing w:line="400" w:lineRule="exact"/>
        <w:ind w:firstLine="560" w:firstLineChars="200"/>
        <w:rPr>
          <w:sz w:val="28"/>
          <w:szCs w:val="28"/>
        </w:rPr>
      </w:pPr>
      <w:r>
        <w:rPr>
          <w:sz w:val="28"/>
          <w:szCs w:val="28"/>
        </w:rPr>
        <w:t>测试所需</w:t>
      </w:r>
      <w:r>
        <w:rPr>
          <w:rFonts w:hint="eastAsia"/>
          <w:sz w:val="28"/>
          <w:szCs w:val="28"/>
        </w:rPr>
        <w:t>设备由考点负责准备。</w:t>
      </w:r>
    </w:p>
    <w:p>
      <w:pPr>
        <w:spacing w:line="400" w:lineRule="exact"/>
        <w:ind w:left="456"/>
        <w:rPr>
          <w:sz w:val="28"/>
          <w:szCs w:val="28"/>
        </w:rPr>
      </w:pPr>
    </w:p>
    <w:p>
      <w:pPr>
        <w:spacing w:line="400" w:lineRule="exact"/>
        <w:ind w:left="456"/>
        <w:rPr>
          <w:sz w:val="28"/>
          <w:szCs w:val="28"/>
        </w:rPr>
      </w:pPr>
    </w:p>
    <w:p>
      <w:pPr>
        <w:spacing w:line="400" w:lineRule="exact"/>
        <w:ind w:left="456"/>
        <w:jc w:val="right"/>
        <w:rPr>
          <w:rFonts w:asciiTheme="minorEastAsia" w:hAnsiTheme="minorEastAsia"/>
          <w:sz w:val="28"/>
          <w:szCs w:val="28"/>
        </w:rPr>
      </w:pPr>
      <w:r>
        <w:rPr>
          <w:rFonts w:hint="eastAsia" w:asciiTheme="minorEastAsia" w:hAnsiTheme="minorEastAsia"/>
          <w:sz w:val="28"/>
          <w:szCs w:val="28"/>
        </w:rPr>
        <w:t>四川城市职业</w:t>
      </w:r>
      <w:r>
        <w:rPr>
          <w:rFonts w:asciiTheme="minorEastAsia" w:hAnsiTheme="minorEastAsia"/>
          <w:sz w:val="28"/>
          <w:szCs w:val="28"/>
        </w:rPr>
        <w:t>学院</w:t>
      </w:r>
    </w:p>
    <w:p>
      <w:pPr>
        <w:spacing w:line="400" w:lineRule="exact"/>
        <w:ind w:left="456"/>
        <w:jc w:val="right"/>
        <w:rPr>
          <w:rFonts w:ascii="宋体" w:hAnsi="宋体" w:eastAsia="宋体"/>
          <w:szCs w:val="21"/>
        </w:rPr>
      </w:pPr>
      <w:r>
        <w:rPr>
          <w:rFonts w:hint="eastAsia" w:asciiTheme="minorEastAsia" w:hAnsiTheme="minorEastAsia"/>
          <w:sz w:val="28"/>
          <w:szCs w:val="28"/>
        </w:rPr>
        <w:t>20</w:t>
      </w:r>
      <w:bookmarkStart w:id="0" w:name="_GoBack"/>
      <w:bookmarkEnd w:id="0"/>
      <w:r>
        <w:rPr>
          <w:rFonts w:hint="eastAsia" w:asciiTheme="minorEastAsia" w:hAnsiTheme="minorEastAsia"/>
          <w:sz w:val="28"/>
          <w:szCs w:val="28"/>
        </w:rPr>
        <w:t>2</w:t>
      </w:r>
      <w:r>
        <w:rPr>
          <w:rFonts w:hint="eastAsia" w:asciiTheme="minorEastAsia" w:hAnsiTheme="minorEastAsia"/>
          <w:sz w:val="28"/>
          <w:szCs w:val="28"/>
          <w:lang w:val="en-US" w:eastAsia="zh-CN"/>
        </w:rPr>
        <w:t>3</w:t>
      </w:r>
      <w:r>
        <w:rPr>
          <w:rFonts w:hint="eastAsia" w:asciiTheme="minorEastAsia" w:hAnsiTheme="minorEastAsia"/>
          <w:sz w:val="28"/>
          <w:szCs w:val="28"/>
        </w:rPr>
        <w:t>年</w:t>
      </w:r>
      <w:r>
        <w:rPr>
          <w:rFonts w:asciiTheme="minorEastAsia" w:hAnsiTheme="minorEastAsia"/>
          <w:sz w:val="28"/>
          <w:szCs w:val="28"/>
        </w:rPr>
        <w:t>3</w:t>
      </w:r>
      <w:r>
        <w:rPr>
          <w:rFonts w:hint="eastAsia" w:asciiTheme="minorEastAsia" w:hAnsiTheme="minorEastAsia"/>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decorative"/>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60BF2"/>
    <w:multiLevelType w:val="multilevel"/>
    <w:tmpl w:val="61960BF2"/>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zYzU3MGRlNWMxZjRlZGIxMzZlMjU5NzkwOTRlYjUifQ=="/>
  </w:docVars>
  <w:rsids>
    <w:rsidRoot w:val="00B43863"/>
    <w:rsid w:val="00015EB7"/>
    <w:rsid w:val="000220D5"/>
    <w:rsid w:val="00022656"/>
    <w:rsid w:val="00025B78"/>
    <w:rsid w:val="000552A6"/>
    <w:rsid w:val="00071E00"/>
    <w:rsid w:val="000C12E1"/>
    <w:rsid w:val="000E5B7A"/>
    <w:rsid w:val="00100632"/>
    <w:rsid w:val="0010405A"/>
    <w:rsid w:val="001322AC"/>
    <w:rsid w:val="00134C07"/>
    <w:rsid w:val="00165925"/>
    <w:rsid w:val="00195F82"/>
    <w:rsid w:val="00224F1E"/>
    <w:rsid w:val="002435DF"/>
    <w:rsid w:val="00247CD1"/>
    <w:rsid w:val="00250874"/>
    <w:rsid w:val="00263861"/>
    <w:rsid w:val="00263E7D"/>
    <w:rsid w:val="00263FAE"/>
    <w:rsid w:val="00283231"/>
    <w:rsid w:val="0029239E"/>
    <w:rsid w:val="002B3255"/>
    <w:rsid w:val="002B74D4"/>
    <w:rsid w:val="002D2D4E"/>
    <w:rsid w:val="0030622F"/>
    <w:rsid w:val="003220A2"/>
    <w:rsid w:val="00345A60"/>
    <w:rsid w:val="003A1D5F"/>
    <w:rsid w:val="003B01FC"/>
    <w:rsid w:val="003C76F3"/>
    <w:rsid w:val="003D09DC"/>
    <w:rsid w:val="003D61BE"/>
    <w:rsid w:val="003F0E0D"/>
    <w:rsid w:val="00425237"/>
    <w:rsid w:val="0043226B"/>
    <w:rsid w:val="00472F95"/>
    <w:rsid w:val="00476838"/>
    <w:rsid w:val="004B30E8"/>
    <w:rsid w:val="004D1034"/>
    <w:rsid w:val="004D6351"/>
    <w:rsid w:val="004E5AB2"/>
    <w:rsid w:val="004F364C"/>
    <w:rsid w:val="005053CA"/>
    <w:rsid w:val="00505780"/>
    <w:rsid w:val="00532249"/>
    <w:rsid w:val="005360EB"/>
    <w:rsid w:val="005D2ECF"/>
    <w:rsid w:val="005D78F6"/>
    <w:rsid w:val="005F1FC9"/>
    <w:rsid w:val="0060174B"/>
    <w:rsid w:val="00604598"/>
    <w:rsid w:val="00613083"/>
    <w:rsid w:val="006221EF"/>
    <w:rsid w:val="00631231"/>
    <w:rsid w:val="00631A7A"/>
    <w:rsid w:val="00636EAC"/>
    <w:rsid w:val="00641A7F"/>
    <w:rsid w:val="006466CC"/>
    <w:rsid w:val="0066138D"/>
    <w:rsid w:val="00663344"/>
    <w:rsid w:val="0066365E"/>
    <w:rsid w:val="00670FF6"/>
    <w:rsid w:val="00673F8A"/>
    <w:rsid w:val="00682498"/>
    <w:rsid w:val="006B7941"/>
    <w:rsid w:val="006C06AB"/>
    <w:rsid w:val="006D45E6"/>
    <w:rsid w:val="00705171"/>
    <w:rsid w:val="00711707"/>
    <w:rsid w:val="00727396"/>
    <w:rsid w:val="00736996"/>
    <w:rsid w:val="0074160B"/>
    <w:rsid w:val="0075548B"/>
    <w:rsid w:val="00756ED2"/>
    <w:rsid w:val="00791C51"/>
    <w:rsid w:val="007C70A4"/>
    <w:rsid w:val="007C7AE1"/>
    <w:rsid w:val="00802443"/>
    <w:rsid w:val="00802862"/>
    <w:rsid w:val="008132E0"/>
    <w:rsid w:val="00816C69"/>
    <w:rsid w:val="00820413"/>
    <w:rsid w:val="0084356C"/>
    <w:rsid w:val="008441F7"/>
    <w:rsid w:val="00866E00"/>
    <w:rsid w:val="008761ED"/>
    <w:rsid w:val="008A660D"/>
    <w:rsid w:val="008A6B53"/>
    <w:rsid w:val="008B754A"/>
    <w:rsid w:val="008C2EE9"/>
    <w:rsid w:val="008D20C4"/>
    <w:rsid w:val="008E3DAE"/>
    <w:rsid w:val="00911A95"/>
    <w:rsid w:val="00913F09"/>
    <w:rsid w:val="009160D5"/>
    <w:rsid w:val="00916BBC"/>
    <w:rsid w:val="00942A73"/>
    <w:rsid w:val="009432B9"/>
    <w:rsid w:val="0096206F"/>
    <w:rsid w:val="009628FC"/>
    <w:rsid w:val="00974648"/>
    <w:rsid w:val="00976B19"/>
    <w:rsid w:val="009846BB"/>
    <w:rsid w:val="009B2F6D"/>
    <w:rsid w:val="009D08A5"/>
    <w:rsid w:val="00A033A1"/>
    <w:rsid w:val="00A2093D"/>
    <w:rsid w:val="00A2158E"/>
    <w:rsid w:val="00A216F5"/>
    <w:rsid w:val="00A25B24"/>
    <w:rsid w:val="00A51159"/>
    <w:rsid w:val="00AB2A10"/>
    <w:rsid w:val="00AE2C0D"/>
    <w:rsid w:val="00B00234"/>
    <w:rsid w:val="00B0131F"/>
    <w:rsid w:val="00B13B71"/>
    <w:rsid w:val="00B22981"/>
    <w:rsid w:val="00B41F13"/>
    <w:rsid w:val="00B43863"/>
    <w:rsid w:val="00B644AC"/>
    <w:rsid w:val="00B71396"/>
    <w:rsid w:val="00B95EE7"/>
    <w:rsid w:val="00BB2D4B"/>
    <w:rsid w:val="00BB5543"/>
    <w:rsid w:val="00C21B3D"/>
    <w:rsid w:val="00C56928"/>
    <w:rsid w:val="00C70289"/>
    <w:rsid w:val="00C8600E"/>
    <w:rsid w:val="00C953F3"/>
    <w:rsid w:val="00CA087A"/>
    <w:rsid w:val="00CA1837"/>
    <w:rsid w:val="00CA4667"/>
    <w:rsid w:val="00CB2378"/>
    <w:rsid w:val="00CC4F7B"/>
    <w:rsid w:val="00CC6863"/>
    <w:rsid w:val="00CF0FAB"/>
    <w:rsid w:val="00D13F98"/>
    <w:rsid w:val="00D30832"/>
    <w:rsid w:val="00D34505"/>
    <w:rsid w:val="00D444BB"/>
    <w:rsid w:val="00D47AFE"/>
    <w:rsid w:val="00D50076"/>
    <w:rsid w:val="00D53023"/>
    <w:rsid w:val="00D6415B"/>
    <w:rsid w:val="00D65714"/>
    <w:rsid w:val="00D75061"/>
    <w:rsid w:val="00D86191"/>
    <w:rsid w:val="00DE220D"/>
    <w:rsid w:val="00DF474A"/>
    <w:rsid w:val="00E06890"/>
    <w:rsid w:val="00E21C26"/>
    <w:rsid w:val="00E34ED1"/>
    <w:rsid w:val="00E3542D"/>
    <w:rsid w:val="00E35F0F"/>
    <w:rsid w:val="00E41A03"/>
    <w:rsid w:val="00E42D82"/>
    <w:rsid w:val="00E52524"/>
    <w:rsid w:val="00E67BFB"/>
    <w:rsid w:val="00E71786"/>
    <w:rsid w:val="00E741E9"/>
    <w:rsid w:val="00E96138"/>
    <w:rsid w:val="00EA0690"/>
    <w:rsid w:val="00EC402F"/>
    <w:rsid w:val="00EE0493"/>
    <w:rsid w:val="00F0707D"/>
    <w:rsid w:val="00F0788B"/>
    <w:rsid w:val="00F0792B"/>
    <w:rsid w:val="00F26209"/>
    <w:rsid w:val="00F30EB8"/>
    <w:rsid w:val="00F51976"/>
    <w:rsid w:val="00F60D66"/>
    <w:rsid w:val="00F9578A"/>
    <w:rsid w:val="00FD4EB1"/>
    <w:rsid w:val="00FE1893"/>
    <w:rsid w:val="00FE24C9"/>
    <w:rsid w:val="00FE5B72"/>
    <w:rsid w:val="00FF763E"/>
    <w:rsid w:val="01F64D94"/>
    <w:rsid w:val="04B23ABE"/>
    <w:rsid w:val="0A1F6DE2"/>
    <w:rsid w:val="0B3410EF"/>
    <w:rsid w:val="0F945FD4"/>
    <w:rsid w:val="16863425"/>
    <w:rsid w:val="172A1710"/>
    <w:rsid w:val="1C825F0B"/>
    <w:rsid w:val="1D485CB1"/>
    <w:rsid w:val="27F04463"/>
    <w:rsid w:val="29227381"/>
    <w:rsid w:val="2D196728"/>
    <w:rsid w:val="33F50C66"/>
    <w:rsid w:val="360A057A"/>
    <w:rsid w:val="39CB53FA"/>
    <w:rsid w:val="3E5372E8"/>
    <w:rsid w:val="526B114D"/>
    <w:rsid w:val="5A486530"/>
    <w:rsid w:val="5C4D1BE3"/>
    <w:rsid w:val="5C6936D8"/>
    <w:rsid w:val="6DC21443"/>
    <w:rsid w:val="739A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20"/>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unhideWhenUsed/>
    <w:qFormat/>
    <w:uiPriority w:val="99"/>
    <w:rPr>
      <w:b/>
      <w:bCs/>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Strong"/>
    <w:basedOn w:val="10"/>
    <w:qFormat/>
    <w:uiPriority w:val="22"/>
    <w:rPr>
      <w:b/>
      <w:bCs/>
    </w:rPr>
  </w:style>
  <w:style w:type="character" w:styleId="12">
    <w:name w:val="annotation reference"/>
    <w:basedOn w:val="10"/>
    <w:unhideWhenUsed/>
    <w:qFormat/>
    <w:uiPriority w:val="99"/>
    <w:rPr>
      <w:sz w:val="21"/>
      <w:szCs w:val="21"/>
    </w:rPr>
  </w:style>
  <w:style w:type="paragraph" w:customStyle="1" w:styleId="13">
    <w:name w:val="列出段落1"/>
    <w:basedOn w:val="1"/>
    <w:qFormat/>
    <w:uiPriority w:val="34"/>
    <w:pPr>
      <w:ind w:firstLine="420" w:firstLineChars="200"/>
    </w:pPr>
  </w:style>
  <w:style w:type="character" w:customStyle="1" w:styleId="14">
    <w:name w:val="页眉 字符"/>
    <w:basedOn w:val="10"/>
    <w:link w:val="5"/>
    <w:semiHidden/>
    <w:qFormat/>
    <w:uiPriority w:val="99"/>
    <w:rPr>
      <w:sz w:val="18"/>
      <w:szCs w:val="18"/>
    </w:rPr>
  </w:style>
  <w:style w:type="character" w:customStyle="1" w:styleId="15">
    <w:name w:val="页脚 字符"/>
    <w:basedOn w:val="10"/>
    <w:link w:val="4"/>
    <w:semiHidden/>
    <w:qFormat/>
    <w:uiPriority w:val="99"/>
    <w:rPr>
      <w:sz w:val="18"/>
      <w:szCs w:val="18"/>
    </w:rPr>
  </w:style>
  <w:style w:type="paragraph" w:customStyle="1" w:styleId="16">
    <w:name w:val="font11"/>
    <w:basedOn w:val="1"/>
    <w:qFormat/>
    <w:uiPriority w:val="0"/>
    <w:pPr>
      <w:widowControl/>
      <w:spacing w:before="100" w:beforeAutospacing="1" w:after="100" w:afterAutospacing="1"/>
      <w:jc w:val="left"/>
    </w:pPr>
    <w:rPr>
      <w:rFonts w:ascii="Arial Unicode MS" w:hAnsi="Arial Unicode MS" w:eastAsia="Arial Unicode MS" w:cs="Arial Unicode MS"/>
      <w:kern w:val="0"/>
      <w:sz w:val="22"/>
    </w:rPr>
  </w:style>
  <w:style w:type="paragraph" w:customStyle="1" w:styleId="17">
    <w:name w:val="列出段落2"/>
    <w:basedOn w:val="1"/>
    <w:qFormat/>
    <w:uiPriority w:val="99"/>
    <w:pPr>
      <w:ind w:firstLine="420" w:firstLineChars="200"/>
    </w:pPr>
  </w:style>
  <w:style w:type="character" w:customStyle="1" w:styleId="18">
    <w:name w:val="批注文字 字符"/>
    <w:basedOn w:val="10"/>
    <w:link w:val="2"/>
    <w:semiHidden/>
    <w:qFormat/>
    <w:uiPriority w:val="99"/>
    <w:rPr>
      <w:kern w:val="2"/>
      <w:sz w:val="21"/>
      <w:szCs w:val="22"/>
    </w:rPr>
  </w:style>
  <w:style w:type="character" w:customStyle="1" w:styleId="19">
    <w:name w:val="批注主题 字符"/>
    <w:basedOn w:val="18"/>
    <w:link w:val="7"/>
    <w:semiHidden/>
    <w:qFormat/>
    <w:uiPriority w:val="99"/>
    <w:rPr>
      <w:b/>
      <w:bCs/>
      <w:kern w:val="2"/>
      <w:sz w:val="21"/>
      <w:szCs w:val="22"/>
    </w:rPr>
  </w:style>
  <w:style w:type="character" w:customStyle="1" w:styleId="20">
    <w:name w:val="批注框文本 字符"/>
    <w:basedOn w:val="10"/>
    <w:link w:val="3"/>
    <w:semiHidden/>
    <w:qFormat/>
    <w:uiPriority w:val="99"/>
    <w:rPr>
      <w:kern w:val="2"/>
      <w:sz w:val="18"/>
      <w:szCs w:val="18"/>
    </w:rPr>
  </w:style>
  <w:style w:type="paragraph" w:customStyle="1" w:styleId="21">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22">
    <w:name w:val="无格式表格 21"/>
    <w:basedOn w:val="8"/>
    <w:qFormat/>
    <w:uiPriority w:val="42"/>
    <w:rPr>
      <w:kern w:val="2"/>
      <w:sz w:val="21"/>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904CD-C8C6-459A-A310-064C7D6CE560}">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1363</Words>
  <Characters>1410</Characters>
  <Lines>11</Lines>
  <Paragraphs>3</Paragraphs>
  <TotalTime>3</TotalTime>
  <ScaleCrop>false</ScaleCrop>
  <LinksUpToDate>false</LinksUpToDate>
  <CharactersWithSpaces>1411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2020-12-29T06:04:00Z</dcterms:created>
  <dc:creator>zhaolijun</dc:creator>
  <cp:lastModifiedBy>陈桥松</cp:lastModifiedBy>
  <dcterms:modified xsi:type="dcterms:W3CDTF">2023-02-22T09:09:52Z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A46EA8E283B543A785C5188FA7E91FF5</vt:lpwstr>
  </property>
</Properties>
</file>