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default" w:ascii="宋体" w:hAnsi="宋体" w:cs="宋体"/>
          <w:b/>
          <w:color w:val="000000"/>
          <w:sz w:val="36"/>
          <w:szCs w:val="36"/>
        </w:rPr>
        <w:t>3</w:t>
      </w:r>
      <w:r>
        <w:rPr>
          <w:rFonts w:hint="eastAsia" w:ascii="宋体" w:hAnsi="宋体" w:cs="宋体"/>
          <w:b/>
          <w:color w:val="000000"/>
          <w:sz w:val="36"/>
          <w:szCs w:val="36"/>
        </w:rPr>
        <w:t>年单独招生考试</w:t>
      </w:r>
    </w:p>
    <w:p>
      <w:pPr>
        <w:pStyle w:val="23"/>
        <w:spacing w:line="360" w:lineRule="auto"/>
        <w:jc w:val="center"/>
        <w:rPr>
          <w:rFonts w:ascii="宋体" w:hAnsi="宋体" w:cs="宋体" w:eastAsiaTheme="minorEastAsia"/>
          <w:b/>
          <w:sz w:val="36"/>
          <w:szCs w:val="36"/>
        </w:rPr>
      </w:pPr>
      <w:r>
        <w:rPr>
          <w:rFonts w:hint="eastAsia" w:ascii="宋体" w:hAnsi="宋体" w:cs="宋体" w:eastAsiaTheme="minorEastAsia"/>
          <w:b/>
          <w:sz w:val="36"/>
          <w:szCs w:val="36"/>
        </w:rPr>
        <w:t>虚拟现实技术应用</w:t>
      </w:r>
      <w:r>
        <w:rPr>
          <w:rFonts w:hint="eastAsia" w:ascii="宋体" w:hAnsi="宋体" w:cs="宋体" w:eastAsiaTheme="minorEastAsia"/>
          <w:b/>
          <w:sz w:val="36"/>
          <w:szCs w:val="36"/>
          <w:lang w:val="zh-TW"/>
        </w:rPr>
        <w:t>专业</w:t>
      </w:r>
      <w:r>
        <w:rPr>
          <w:rFonts w:hint="eastAsia" w:ascii="宋体" w:hAnsi="宋体" w:cs="宋体" w:eastAsiaTheme="minorEastAsia"/>
          <w:b/>
          <w:sz w:val="36"/>
          <w:szCs w:val="36"/>
        </w:rPr>
        <w:t>综合测试指南</w:t>
      </w:r>
    </w:p>
    <w:p>
      <w:pPr>
        <w:widowControl/>
        <w:snapToGrid w:val="0"/>
        <w:spacing w:line="240" w:lineRule="atLeast"/>
        <w:jc w:val="center"/>
        <w:rPr>
          <w:rFonts w:ascii="宋体" w:hAnsi="宋体" w:cs="宋体"/>
          <w:b/>
          <w:color w:val="000000"/>
          <w:sz w:val="36"/>
          <w:szCs w:val="36"/>
        </w:rPr>
      </w:pPr>
    </w:p>
    <w:p>
      <w:pPr>
        <w:pStyle w:val="17"/>
        <w:numPr>
          <w:ilvl w:val="0"/>
          <w:numId w:val="1"/>
        </w:numPr>
        <w:ind w:firstLine="111" w:firstLineChars="0"/>
        <w:rPr>
          <w:b/>
          <w:sz w:val="28"/>
          <w:szCs w:val="28"/>
        </w:rPr>
      </w:pPr>
      <w:r>
        <w:rPr>
          <w:rFonts w:hint="eastAsia"/>
          <w:b/>
          <w:sz w:val="28"/>
          <w:szCs w:val="28"/>
        </w:rPr>
        <w:t>考试性质</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单独招生技能测试是面向中等职业技术学院考生（对口高职）考生参加的选拔性考试，是单招考试的组成部分。本测试指南适用于中等职业技术学院考生（对口高职）参加虚拟现实技术应用专业人才的选拔。</w:t>
      </w:r>
    </w:p>
    <w:p>
      <w:pPr>
        <w:spacing w:line="400" w:lineRule="exact"/>
        <w:ind w:firstLine="560" w:firstLineChars="200"/>
        <w:jc w:val="left"/>
        <w:rPr>
          <w:sz w:val="28"/>
          <w:szCs w:val="28"/>
          <w:u w:color="000000"/>
        </w:rPr>
      </w:pPr>
    </w:p>
    <w:p>
      <w:pPr>
        <w:pStyle w:val="17"/>
        <w:numPr>
          <w:ilvl w:val="0"/>
          <w:numId w:val="1"/>
        </w:numPr>
        <w:ind w:hanging="30" w:firstLineChars="0"/>
        <w:rPr>
          <w:b/>
          <w:sz w:val="28"/>
          <w:szCs w:val="28"/>
        </w:rPr>
      </w:pPr>
      <w:r>
        <w:rPr>
          <w:rFonts w:hint="eastAsia"/>
          <w:b/>
          <w:sz w:val="28"/>
          <w:szCs w:val="28"/>
        </w:rPr>
        <w:t>制定依据</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以教育部中等职业学校虚拟现实技术类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400" w:lineRule="exact"/>
        <w:ind w:firstLine="560" w:firstLineChars="200"/>
        <w:rPr>
          <w:sz w:val="28"/>
          <w:szCs w:val="28"/>
        </w:rPr>
      </w:pPr>
    </w:p>
    <w:p>
      <w:pPr>
        <w:pStyle w:val="17"/>
        <w:numPr>
          <w:ilvl w:val="0"/>
          <w:numId w:val="1"/>
        </w:numPr>
        <w:ind w:hanging="30" w:firstLineChars="0"/>
        <w:rPr>
          <w:b/>
          <w:sz w:val="28"/>
          <w:szCs w:val="28"/>
        </w:rPr>
      </w:pPr>
      <w:r>
        <w:rPr>
          <w:rFonts w:hint="eastAsia"/>
          <w:b/>
          <w:sz w:val="28"/>
          <w:szCs w:val="28"/>
        </w:rPr>
        <w:t>考核方法</w:t>
      </w:r>
    </w:p>
    <w:p>
      <w:pPr>
        <w:spacing w:line="360" w:lineRule="auto"/>
        <w:ind w:firstLine="560" w:firstLineChars="200"/>
        <w:jc w:val="left"/>
        <w:rPr>
          <w:sz w:val="28"/>
          <w:szCs w:val="28"/>
        </w:rPr>
      </w:pPr>
      <w:r>
        <w:rPr>
          <w:rFonts w:ascii="宋体" w:hAnsi="宋体" w:eastAsia="宋体" w:cs="宋体"/>
          <w:sz w:val="28"/>
          <w:szCs w:val="28"/>
        </w:rPr>
        <w:t>考核项目统一为泥塑（分院提供相关材料），重点考核学生的造型能力色彩搭配能力</w:t>
      </w:r>
      <w:r>
        <w:rPr>
          <w:rFonts w:hint="eastAsia" w:ascii="宋体" w:hAnsi="宋体" w:eastAsia="宋体" w:cs="宋体"/>
          <w:sz w:val="28"/>
          <w:szCs w:val="28"/>
        </w:rPr>
        <w:t>及创新能力</w:t>
      </w:r>
      <w:r>
        <w:rPr>
          <w:rFonts w:ascii="宋体" w:hAnsi="宋体" w:eastAsia="宋体" w:cs="宋体"/>
          <w:sz w:val="28"/>
          <w:szCs w:val="28"/>
        </w:rPr>
        <w:t>，普通教室进行，考试时间长度为120分钟</w:t>
      </w:r>
      <w:r>
        <w:rPr>
          <w:rFonts w:hint="eastAsia"/>
          <w:sz w:val="28"/>
          <w:szCs w:val="28"/>
        </w:rPr>
        <w:t>。</w:t>
      </w:r>
    </w:p>
    <w:p>
      <w:pPr>
        <w:spacing w:line="400" w:lineRule="exact"/>
        <w:ind w:firstLine="560" w:firstLineChars="200"/>
        <w:jc w:val="left"/>
        <w:rPr>
          <w:sz w:val="28"/>
          <w:szCs w:val="28"/>
        </w:rPr>
      </w:pPr>
    </w:p>
    <w:p>
      <w:pPr>
        <w:pStyle w:val="17"/>
        <w:numPr>
          <w:ilvl w:val="0"/>
          <w:numId w:val="1"/>
        </w:numPr>
        <w:ind w:hanging="30" w:firstLineChars="0"/>
        <w:rPr>
          <w:b/>
          <w:sz w:val="28"/>
          <w:szCs w:val="28"/>
        </w:rPr>
      </w:pPr>
      <w:r>
        <w:rPr>
          <w:rFonts w:hint="eastAsia"/>
          <w:b/>
          <w:sz w:val="28"/>
          <w:szCs w:val="28"/>
        </w:rPr>
        <w:t>考核要点及分值</w:t>
      </w:r>
    </w:p>
    <w:tbl>
      <w:tblPr>
        <w:tblStyle w:val="8"/>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4094"/>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1774" w:type="dxa"/>
          </w:tcPr>
          <w:p>
            <w:pPr>
              <w:pStyle w:val="17"/>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考核形式</w:t>
            </w:r>
          </w:p>
        </w:tc>
        <w:tc>
          <w:tcPr>
            <w:tcW w:w="4094" w:type="dxa"/>
          </w:tcPr>
          <w:p>
            <w:pPr>
              <w:pStyle w:val="17"/>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考试内容</w:t>
            </w:r>
          </w:p>
        </w:tc>
        <w:tc>
          <w:tcPr>
            <w:tcW w:w="2463" w:type="dxa"/>
          </w:tcPr>
          <w:p>
            <w:pPr>
              <w:pStyle w:val="17"/>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 w:hRule="atLeast"/>
          <w:jc w:val="center"/>
        </w:trPr>
        <w:tc>
          <w:tcPr>
            <w:tcW w:w="1774" w:type="dxa"/>
            <w:vMerge w:val="restart"/>
            <w:vAlign w:val="center"/>
          </w:tcPr>
          <w:p>
            <w:pPr>
              <w:pStyle w:val="17"/>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泥塑</w:t>
            </w:r>
          </w:p>
        </w:tc>
        <w:tc>
          <w:tcPr>
            <w:tcW w:w="4094" w:type="dxa"/>
            <w:vMerge w:val="restart"/>
            <w:vAlign w:val="center"/>
          </w:tcPr>
          <w:p>
            <w:pPr>
              <w:pStyle w:val="17"/>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依据报考专业进行相关题材的造型创作，并用泥塑形式进行表现：1、动植物表现；2、人物表现；3、建筑物表现；4交通工具表现、根据以上四项内容，选择其中一项进行创作（四选一）</w:t>
            </w:r>
          </w:p>
        </w:tc>
        <w:tc>
          <w:tcPr>
            <w:tcW w:w="2463" w:type="dxa"/>
            <w:vAlign w:val="center"/>
          </w:tcPr>
          <w:p>
            <w:pPr>
              <w:pStyle w:val="17"/>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造型能力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1" w:hRule="atLeast"/>
          <w:jc w:val="center"/>
        </w:trPr>
        <w:tc>
          <w:tcPr>
            <w:tcW w:w="1774" w:type="dxa"/>
            <w:vMerge w:val="continue"/>
            <w:vAlign w:val="center"/>
          </w:tcPr>
          <w:p>
            <w:pPr>
              <w:pStyle w:val="17"/>
              <w:ind w:firstLine="0" w:firstLineChars="0"/>
              <w:rPr>
                <w:rFonts w:ascii="宋体" w:hAnsi="宋体" w:eastAsia="宋体" w:cs="宋体"/>
                <w:color w:val="000000"/>
                <w:kern w:val="0"/>
                <w:sz w:val="24"/>
                <w:szCs w:val="24"/>
              </w:rPr>
            </w:pPr>
          </w:p>
        </w:tc>
        <w:tc>
          <w:tcPr>
            <w:tcW w:w="4094" w:type="dxa"/>
            <w:vMerge w:val="continue"/>
            <w:vAlign w:val="center"/>
          </w:tcPr>
          <w:p>
            <w:pPr>
              <w:pStyle w:val="17"/>
              <w:ind w:firstLine="0" w:firstLineChars="0"/>
              <w:rPr>
                <w:rFonts w:ascii="宋体" w:hAnsi="宋体" w:eastAsia="宋体" w:cs="宋体"/>
                <w:color w:val="000000"/>
                <w:kern w:val="0"/>
                <w:sz w:val="24"/>
                <w:szCs w:val="24"/>
              </w:rPr>
            </w:pPr>
          </w:p>
        </w:tc>
        <w:tc>
          <w:tcPr>
            <w:tcW w:w="2463" w:type="dxa"/>
            <w:vAlign w:val="center"/>
          </w:tcPr>
          <w:p>
            <w:pPr>
              <w:pStyle w:val="17"/>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色彩搭配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 w:hRule="atLeast"/>
          <w:jc w:val="center"/>
        </w:trPr>
        <w:tc>
          <w:tcPr>
            <w:tcW w:w="1774" w:type="dxa"/>
            <w:vMerge w:val="continue"/>
            <w:vAlign w:val="center"/>
          </w:tcPr>
          <w:p>
            <w:pPr>
              <w:pStyle w:val="17"/>
              <w:ind w:firstLine="0" w:firstLineChars="0"/>
              <w:rPr>
                <w:rFonts w:ascii="宋体" w:hAnsi="宋体" w:eastAsia="宋体" w:cs="宋体"/>
                <w:color w:val="000000"/>
                <w:kern w:val="0"/>
                <w:sz w:val="24"/>
                <w:szCs w:val="24"/>
              </w:rPr>
            </w:pPr>
          </w:p>
        </w:tc>
        <w:tc>
          <w:tcPr>
            <w:tcW w:w="4094" w:type="dxa"/>
            <w:vMerge w:val="continue"/>
            <w:vAlign w:val="center"/>
          </w:tcPr>
          <w:p>
            <w:pPr>
              <w:pStyle w:val="17"/>
              <w:ind w:firstLine="0" w:firstLineChars="0"/>
              <w:rPr>
                <w:rFonts w:ascii="宋体" w:hAnsi="宋体" w:eastAsia="宋体" w:cs="宋体"/>
                <w:color w:val="000000"/>
                <w:kern w:val="0"/>
                <w:sz w:val="24"/>
                <w:szCs w:val="24"/>
              </w:rPr>
            </w:pPr>
          </w:p>
        </w:tc>
        <w:tc>
          <w:tcPr>
            <w:tcW w:w="2463" w:type="dxa"/>
            <w:vAlign w:val="center"/>
          </w:tcPr>
          <w:p>
            <w:pPr>
              <w:pStyle w:val="17"/>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创新能力</w:t>
            </w:r>
          </w:p>
        </w:tc>
      </w:tr>
    </w:tbl>
    <w:p>
      <w:pPr>
        <w:spacing w:line="400" w:lineRule="exact"/>
        <w:ind w:firstLine="560" w:firstLineChars="200"/>
        <w:jc w:val="left"/>
        <w:rPr>
          <w:sz w:val="28"/>
          <w:szCs w:val="28"/>
        </w:rPr>
      </w:pPr>
    </w:p>
    <w:p>
      <w:pPr>
        <w:pStyle w:val="17"/>
        <w:numPr>
          <w:ilvl w:val="0"/>
          <w:numId w:val="1"/>
        </w:numPr>
        <w:ind w:hanging="30" w:firstLineChars="0"/>
        <w:rPr>
          <w:b/>
          <w:sz w:val="28"/>
          <w:szCs w:val="28"/>
        </w:rPr>
      </w:pPr>
      <w:r>
        <w:rPr>
          <w:rFonts w:hint="eastAsia"/>
          <w:b/>
          <w:sz w:val="28"/>
          <w:szCs w:val="28"/>
        </w:rPr>
        <w:t>考核标准</w:t>
      </w:r>
      <w:r>
        <w:rPr>
          <w:b/>
          <w:sz w:val="28"/>
          <w:szCs w:val="28"/>
        </w:rPr>
        <w:t>及分值</w:t>
      </w:r>
    </w:p>
    <w:tbl>
      <w:tblPr>
        <w:tblStyle w:val="9"/>
        <w:tblW w:w="84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5"/>
        <w:gridCol w:w="1311"/>
        <w:gridCol w:w="4536"/>
        <w:gridCol w:w="13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blHeader/>
          <w:jc w:val="center"/>
        </w:trPr>
        <w:tc>
          <w:tcPr>
            <w:tcW w:w="1245" w:type="dxa"/>
            <w:vAlign w:val="center"/>
          </w:tcPr>
          <w:p>
            <w:pPr>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考核要点</w:t>
            </w:r>
          </w:p>
        </w:tc>
        <w:tc>
          <w:tcPr>
            <w:tcW w:w="1311" w:type="dxa"/>
            <w:vAlign w:val="center"/>
          </w:tcPr>
          <w:p>
            <w:pPr>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考核项目</w:t>
            </w:r>
          </w:p>
        </w:tc>
        <w:tc>
          <w:tcPr>
            <w:tcW w:w="4536" w:type="dxa"/>
            <w:vAlign w:val="center"/>
          </w:tcPr>
          <w:p>
            <w:pPr>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1360" w:type="dxa"/>
            <w:vAlign w:val="center"/>
          </w:tcPr>
          <w:p>
            <w:pPr>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分值占比</w:t>
            </w:r>
          </w:p>
        </w:tc>
      </w:tr>
      <w:tr>
        <w:trPr>
          <w:trHeight w:val="604" w:hRule="atLeast"/>
          <w:jc w:val="center"/>
        </w:trPr>
        <w:tc>
          <w:tcPr>
            <w:tcW w:w="1245" w:type="dxa"/>
            <w:vAlign w:val="center"/>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造型能力</w:t>
            </w:r>
          </w:p>
        </w:tc>
        <w:tc>
          <w:tcPr>
            <w:tcW w:w="1311"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构图、比例重心、动态</w:t>
            </w:r>
          </w:p>
        </w:tc>
        <w:tc>
          <w:tcPr>
            <w:tcW w:w="4536" w:type="dxa"/>
            <w:vAlign w:val="center"/>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主要考查考生的造型能力，包含构图能力、主体物比例关系、物理重心稳定性、动态结构准确度等。</w:t>
            </w:r>
          </w:p>
        </w:tc>
        <w:tc>
          <w:tcPr>
            <w:tcW w:w="1360"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18" w:hRule="atLeast"/>
          <w:jc w:val="center"/>
        </w:trPr>
        <w:tc>
          <w:tcPr>
            <w:tcW w:w="1245"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色彩搭配</w:t>
            </w:r>
          </w:p>
        </w:tc>
        <w:tc>
          <w:tcPr>
            <w:tcW w:w="1311"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颜色感知、</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色彩搭配</w:t>
            </w:r>
          </w:p>
        </w:tc>
        <w:tc>
          <w:tcPr>
            <w:tcW w:w="4536" w:type="dxa"/>
            <w:vAlign w:val="center"/>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主要考查考生对色彩的感知能力，色彩搭配协调性。</w:t>
            </w:r>
          </w:p>
        </w:tc>
        <w:tc>
          <w:tcPr>
            <w:tcW w:w="1360"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16" w:hRule="atLeast"/>
          <w:jc w:val="center"/>
        </w:trPr>
        <w:tc>
          <w:tcPr>
            <w:tcW w:w="1245"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创新能力</w:t>
            </w:r>
          </w:p>
        </w:tc>
        <w:tc>
          <w:tcPr>
            <w:tcW w:w="1311" w:type="dxa"/>
            <w:vAlign w:val="center"/>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原创能力、</w:t>
            </w: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创新能力</w:t>
            </w:r>
          </w:p>
        </w:tc>
        <w:tc>
          <w:tcPr>
            <w:tcW w:w="4536" w:type="dxa"/>
            <w:vAlign w:val="center"/>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主要考查考生对造型的原创性及创新能力。</w:t>
            </w:r>
          </w:p>
        </w:tc>
        <w:tc>
          <w:tcPr>
            <w:tcW w:w="1360"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r>
    </w:tbl>
    <w:p>
      <w:pPr>
        <w:rPr>
          <w:b/>
          <w:sz w:val="28"/>
          <w:szCs w:val="28"/>
        </w:rPr>
      </w:pPr>
    </w:p>
    <w:p>
      <w:pPr>
        <w:pStyle w:val="17"/>
        <w:numPr>
          <w:ilvl w:val="0"/>
          <w:numId w:val="1"/>
        </w:numPr>
        <w:ind w:hanging="30" w:firstLineChars="0"/>
        <w:rPr>
          <w:b/>
          <w:sz w:val="28"/>
          <w:szCs w:val="28"/>
        </w:rPr>
      </w:pPr>
      <w:r>
        <w:rPr>
          <w:rFonts w:hint="eastAsia"/>
          <w:b/>
          <w:sz w:val="28"/>
          <w:szCs w:val="28"/>
        </w:rPr>
        <w:t>其他事项</w:t>
      </w:r>
    </w:p>
    <w:p>
      <w:pPr>
        <w:pStyle w:val="23"/>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考生应严格遵守考场纪律，操作技能考试除携带考试必备的用具（如笔、纸等）外，不带入任何图片资料及现成模型，造型用垫板、彩泥及工具由考场提供。</w:t>
      </w:r>
    </w:p>
    <w:p>
      <w:pPr>
        <w:spacing w:line="400" w:lineRule="exact"/>
        <w:ind w:left="456"/>
        <w:rPr>
          <w:sz w:val="28"/>
          <w:szCs w:val="28"/>
        </w:rPr>
      </w:pPr>
    </w:p>
    <w:p>
      <w:pPr>
        <w:spacing w:line="400" w:lineRule="exact"/>
        <w:ind w:left="456"/>
        <w:rPr>
          <w:sz w:val="28"/>
          <w:szCs w:val="28"/>
        </w:rPr>
      </w:pP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default" w:asciiTheme="minorEastAsia" w:hAnsiTheme="minorEastAsia"/>
          <w:sz w:val="28"/>
          <w:szCs w:val="28"/>
        </w:rPr>
        <w:t>3</w:t>
      </w:r>
      <w:bookmarkStart w:id="0" w:name="_GoBack"/>
      <w:bookmarkEnd w:id="0"/>
      <w:r>
        <w:rPr>
          <w:rFonts w:hint="eastAsia" w:asciiTheme="minorEastAsia" w:hAnsiTheme="minorEastAsia"/>
          <w:sz w:val="28"/>
          <w:szCs w:val="28"/>
        </w:rPr>
        <w:t>年</w:t>
      </w:r>
      <w:r>
        <w:rPr>
          <w:rFonts w:asciiTheme="minorEastAsia" w:hAnsiTheme="minorEastAsia"/>
          <w:sz w:val="28"/>
          <w:szCs w:val="28"/>
        </w:rPr>
        <w:t>3</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Unicode MS">
    <w:panose1 w:val="020B0604020202020204"/>
    <w:charset w:val="86"/>
    <w:family w:val="decorative"/>
    <w:pitch w:val="default"/>
    <w:sig w:usb0="00000000" w:usb1="00000000" w:usb2="00000000" w:usb3="00000000" w:csb0="003E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60BF2"/>
    <w:multiLevelType w:val="multilevel"/>
    <w:tmpl w:val="61960BF2"/>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D66C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64C2D"/>
    <w:rsid w:val="00476838"/>
    <w:rsid w:val="004B30E8"/>
    <w:rsid w:val="004D6351"/>
    <w:rsid w:val="004E5AB2"/>
    <w:rsid w:val="004E72F0"/>
    <w:rsid w:val="004F364C"/>
    <w:rsid w:val="00505780"/>
    <w:rsid w:val="0051036F"/>
    <w:rsid w:val="00532249"/>
    <w:rsid w:val="0053454C"/>
    <w:rsid w:val="005D2ECF"/>
    <w:rsid w:val="005D59C6"/>
    <w:rsid w:val="005D78F6"/>
    <w:rsid w:val="005E571A"/>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13B71"/>
    <w:rsid w:val="00B17B1D"/>
    <w:rsid w:val="00B22981"/>
    <w:rsid w:val="00B24B8F"/>
    <w:rsid w:val="00B34B2C"/>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01527F6E"/>
    <w:rsid w:val="06751AA6"/>
    <w:rsid w:val="0856561A"/>
    <w:rsid w:val="10AA622D"/>
    <w:rsid w:val="12250D5D"/>
    <w:rsid w:val="17612CBE"/>
    <w:rsid w:val="252D3F3C"/>
    <w:rsid w:val="360A057A"/>
    <w:rsid w:val="5EFF50C0"/>
    <w:rsid w:val="78B7629B"/>
    <w:rsid w:val="7A7F1486"/>
    <w:rsid w:val="FFFB2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出段落2"/>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列出段落21"/>
    <w:basedOn w:val="1"/>
    <w:qFormat/>
    <w:uiPriority w:val="34"/>
    <w:pPr>
      <w:ind w:firstLine="420" w:firstLineChars="200"/>
    </w:pPr>
    <w:rPr>
      <w:rFonts w:ascii="Calibri" w:hAnsi="Calibri" w:eastAsia="宋体" w:cs="Times New Roman"/>
    </w:rPr>
  </w:style>
  <w:style w:type="paragraph" w:customStyle="1" w:styleId="23">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Words>
  <Characters>635</Characters>
  <Lines>5</Lines>
  <Paragraphs>1</Paragraphs>
  <TotalTime>1</TotalTime>
  <ScaleCrop>false</ScaleCrop>
  <LinksUpToDate>false</LinksUpToDate>
  <CharactersWithSpaces>745</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2019-12-24T16:18:00Z</dcterms:created>
  <dc:creator>zhaolijun</dc:creator>
  <cp:lastModifiedBy>     </cp:lastModifiedBy>
  <dcterms:modified xsi:type="dcterms:W3CDTF">2023-02-22T11:44:23Z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B8285B85CD3F448DB396EEA9696D6CCB</vt:lpwstr>
  </property>
</Properties>
</file>