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baseline"/>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年单独招生考试</w:t>
      </w:r>
    </w:p>
    <w:p>
      <w:pPr>
        <w:snapToGrid w:val="0"/>
        <w:spacing w:line="360" w:lineRule="auto"/>
        <w:jc w:val="center"/>
        <w:textAlignment w:val="baseline"/>
        <w:rPr>
          <w:b/>
          <w:color w:val="000000"/>
          <w:kern w:val="2"/>
          <w:sz w:val="36"/>
          <w:szCs w:val="36"/>
          <w:lang w:val="en-US" w:bidi="ar-SA"/>
        </w:rPr>
      </w:pPr>
      <w:r>
        <w:rPr>
          <w:rFonts w:hint="eastAsia"/>
          <w:b/>
          <w:color w:val="000000"/>
          <w:kern w:val="2"/>
          <w:sz w:val="36"/>
          <w:szCs w:val="36"/>
          <w:lang w:val="en-US" w:bidi="ar-SA"/>
        </w:rPr>
        <w:t>美术</w:t>
      </w:r>
      <w:r>
        <w:rPr>
          <w:b/>
          <w:color w:val="000000"/>
          <w:kern w:val="2"/>
          <w:sz w:val="36"/>
          <w:szCs w:val="36"/>
          <w:lang w:val="en-US" w:bidi="ar-SA"/>
        </w:rPr>
        <w:t>教育专业综合测试指南</w:t>
      </w:r>
    </w:p>
    <w:p>
      <w:pPr>
        <w:snapToGrid w:val="0"/>
        <w:spacing w:line="360" w:lineRule="auto"/>
        <w:jc w:val="center"/>
        <w:textAlignment w:val="baseline"/>
        <w:rPr>
          <w:b/>
          <w:color w:val="000000"/>
          <w:kern w:val="2"/>
          <w:sz w:val="36"/>
          <w:szCs w:val="36"/>
          <w:lang w:val="en-US" w:bidi="ar-SA"/>
        </w:rPr>
      </w:pPr>
      <w:r>
        <w:rPr>
          <w:b/>
          <w:color w:val="000000"/>
          <w:kern w:val="2"/>
          <w:sz w:val="36"/>
          <w:szCs w:val="36"/>
          <w:lang w:val="en-US" w:bidi="ar-SA"/>
        </w:rPr>
        <w:t xml:space="preserve"> </w:t>
      </w:r>
    </w:p>
    <w:p>
      <w:pPr>
        <w:pStyle w:val="3"/>
        <w:snapToGrid w:val="0"/>
        <w:spacing w:before="137"/>
        <w:ind w:left="786"/>
        <w:textAlignment w:val="baseline"/>
      </w:pPr>
      <w:r>
        <w:t>一、考试性质</w:t>
      </w:r>
    </w:p>
    <w:p>
      <w:pPr>
        <w:pStyle w:val="4"/>
        <w:snapToGrid w:val="0"/>
        <w:spacing w:before="171" w:line="266" w:lineRule="auto"/>
        <w:ind w:left="220" w:right="253" w:firstLine="496"/>
        <w:jc w:val="both"/>
        <w:textAlignment w:val="baseline"/>
        <w:rPr>
          <w:kern w:val="2"/>
          <w:lang w:val="en-US" w:bidi="ar-SA"/>
        </w:rPr>
      </w:pPr>
      <w:r>
        <w:rPr>
          <w:spacing w:val="-6"/>
        </w:rPr>
        <w:t>单</w:t>
      </w:r>
      <w:r>
        <w:rPr>
          <w:kern w:val="2"/>
          <w:lang w:val="en-US" w:bidi="ar-SA"/>
        </w:rPr>
        <w:t>独招生综合测试是面向中等职业技术学校考生（对口高职）考生参加的选拔性考试，是单招考试的组成部分。本测试指南适用于中等职业技术学校考生（对口高职）参加</w:t>
      </w:r>
      <w:r>
        <w:rPr>
          <w:rFonts w:hint="eastAsia"/>
          <w:kern w:val="2"/>
          <w:lang w:val="en-US" w:bidi="ar-SA"/>
        </w:rPr>
        <w:t>美术</w:t>
      </w:r>
      <w:r>
        <w:rPr>
          <w:kern w:val="2"/>
          <w:lang w:val="en-US" w:bidi="ar-SA"/>
        </w:rPr>
        <w:t>教育专业人才的选拔。</w:t>
      </w:r>
    </w:p>
    <w:p>
      <w:pPr>
        <w:pStyle w:val="4"/>
        <w:snapToGrid w:val="0"/>
        <w:spacing w:before="171" w:line="266" w:lineRule="auto"/>
        <w:ind w:left="220" w:right="253" w:firstLine="496"/>
        <w:jc w:val="both"/>
        <w:textAlignment w:val="baseline"/>
        <w:rPr>
          <w:sz w:val="39"/>
        </w:rPr>
      </w:pPr>
    </w:p>
    <w:p>
      <w:pPr>
        <w:pStyle w:val="3"/>
        <w:snapToGrid w:val="0"/>
        <w:spacing w:before="137"/>
        <w:ind w:left="786"/>
        <w:textAlignment w:val="baseline"/>
      </w:pPr>
      <w:r>
        <w:t>二、制定依据</w:t>
      </w:r>
    </w:p>
    <w:p>
      <w:pPr>
        <w:pStyle w:val="4"/>
        <w:snapToGrid w:val="0"/>
        <w:spacing w:before="171" w:line="266" w:lineRule="auto"/>
        <w:ind w:left="220" w:right="253" w:firstLine="496"/>
        <w:jc w:val="both"/>
        <w:textAlignment w:val="baseline"/>
        <w:rPr>
          <w:bCs/>
          <w:kern w:val="2"/>
          <w:lang w:val="en-US" w:bidi="ar-SA"/>
        </w:rPr>
      </w:pPr>
      <w:r>
        <w:rPr>
          <w:spacing w:val="-6"/>
        </w:rPr>
        <w:t>以教育部</w:t>
      </w:r>
      <w:r>
        <w:rPr>
          <w:rFonts w:hint="eastAsia"/>
          <w:spacing w:val="-6"/>
        </w:rPr>
        <w:t>中等职业学校</w:t>
      </w:r>
      <w:r>
        <w:rPr>
          <w:rFonts w:hint="eastAsia"/>
          <w:spacing w:val="-6"/>
          <w:lang w:val="en-US"/>
        </w:rPr>
        <w:t>美术</w:t>
      </w:r>
      <w:r>
        <w:rPr>
          <w:spacing w:val="-6"/>
        </w:rPr>
        <w:t>教育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napToGrid w:val="0"/>
        <w:spacing w:line="400" w:lineRule="exact"/>
        <w:ind w:firstLine="560" w:firstLineChars="200"/>
        <w:jc w:val="both"/>
        <w:textAlignment w:val="baseline"/>
        <w:rPr>
          <w:bCs/>
          <w:kern w:val="2"/>
          <w:sz w:val="28"/>
          <w:szCs w:val="28"/>
          <w:lang w:val="en-US" w:bidi="ar-SA"/>
        </w:rPr>
      </w:pPr>
    </w:p>
    <w:p>
      <w:pPr>
        <w:pStyle w:val="3"/>
        <w:snapToGrid w:val="0"/>
        <w:spacing w:before="137"/>
        <w:ind w:left="786"/>
        <w:textAlignment w:val="baseline"/>
        <w:rPr>
          <w:b w:val="0"/>
          <w:kern w:val="2"/>
          <w:lang w:val="en-US" w:bidi="ar-SA"/>
        </w:rPr>
      </w:pPr>
      <w:r>
        <w:t>三、考核方法</w:t>
      </w:r>
    </w:p>
    <w:p>
      <w:pPr>
        <w:pStyle w:val="4"/>
        <w:snapToGrid w:val="0"/>
        <w:spacing w:before="171" w:line="266" w:lineRule="auto"/>
        <w:ind w:left="220" w:right="253" w:firstLine="496"/>
        <w:jc w:val="both"/>
        <w:textAlignment w:val="baseline"/>
        <w:rPr>
          <w:kern w:val="2"/>
          <w:lang w:val="en-US" w:bidi="ar-SA"/>
        </w:rPr>
      </w:pPr>
      <w:r>
        <w:rPr>
          <w:spacing w:val="-6"/>
        </w:rPr>
        <w:t>采用专业技能测试的形式，考官根据考生</w:t>
      </w:r>
      <w:r>
        <w:rPr>
          <w:rFonts w:hint="eastAsia"/>
          <w:spacing w:val="-6"/>
          <w:lang w:val="en-US"/>
        </w:rPr>
        <w:t>专业测试结果</w:t>
      </w:r>
      <w:r>
        <w:rPr>
          <w:spacing w:val="-6"/>
        </w:rPr>
        <w:t>独立评分。</w:t>
      </w:r>
    </w:p>
    <w:p>
      <w:pPr>
        <w:snapToGrid w:val="0"/>
        <w:spacing w:line="400" w:lineRule="exact"/>
        <w:ind w:firstLine="391" w:firstLineChars="177"/>
        <w:textAlignment w:val="baseline"/>
        <w:rPr>
          <w:b/>
          <w:i/>
          <w:caps/>
        </w:rPr>
      </w:pPr>
    </w:p>
    <w:p>
      <w:pPr>
        <w:pStyle w:val="3"/>
        <w:numPr>
          <w:ilvl w:val="0"/>
          <w:numId w:val="1"/>
        </w:numPr>
        <w:snapToGrid w:val="0"/>
        <w:spacing w:before="137"/>
        <w:ind w:left="786"/>
        <w:textAlignment w:val="baseline"/>
      </w:pPr>
      <w:r>
        <w:t>考核要点及形式</w:t>
      </w:r>
    </w:p>
    <w:p>
      <w:pPr>
        <w:snapToGrid w:val="0"/>
        <w:textAlignment w:val="baseline"/>
        <w:rPr>
          <w:b/>
          <w:i/>
          <w:caps/>
        </w:rPr>
      </w:pPr>
    </w:p>
    <w:p>
      <w:pPr>
        <w:pStyle w:val="15"/>
        <w:snapToGrid w:val="0"/>
        <w:spacing w:line="360" w:lineRule="auto"/>
        <w:ind w:firstLine="536" w:firstLineChars="200"/>
        <w:jc w:val="left"/>
        <w:textAlignment w:val="baseline"/>
        <w:rPr>
          <w:rFonts w:ascii="宋体" w:hAnsi="宋体" w:eastAsia="宋体" w:cs="宋体"/>
          <w:spacing w:val="-6"/>
          <w:kern w:val="0"/>
          <w:sz w:val="28"/>
          <w:szCs w:val="28"/>
          <w:lang w:val="zh-CN" w:bidi="zh-CN"/>
        </w:rPr>
      </w:pPr>
      <w:r>
        <w:rPr>
          <w:rFonts w:hint="eastAsia" w:ascii="宋体" w:hAnsi="宋体" w:eastAsia="宋体" w:cs="宋体"/>
          <w:spacing w:val="-6"/>
          <w:kern w:val="0"/>
          <w:sz w:val="28"/>
          <w:szCs w:val="28"/>
          <w:lang w:bidi="zh-CN"/>
        </w:rPr>
        <w:t>美术教育</w:t>
      </w:r>
      <w:r>
        <w:rPr>
          <w:rFonts w:hint="eastAsia" w:ascii="宋体" w:hAnsi="宋体" w:eastAsia="宋体" w:cs="宋体"/>
          <w:spacing w:val="-6"/>
          <w:kern w:val="0"/>
          <w:sz w:val="28"/>
          <w:szCs w:val="28"/>
          <w:lang w:val="zh-CN" w:bidi="zh-CN"/>
        </w:rPr>
        <w:t>专业考核内容，考核项目统一为手绘表现，具体表现内容考生可视自己</w:t>
      </w:r>
      <w:r>
        <w:rPr>
          <w:rFonts w:hint="eastAsia" w:ascii="宋体" w:hAnsi="宋体" w:eastAsia="宋体" w:cs="宋体"/>
          <w:spacing w:val="-6"/>
          <w:kern w:val="0"/>
          <w:sz w:val="28"/>
          <w:szCs w:val="28"/>
          <w:lang w:bidi="zh-CN"/>
        </w:rPr>
        <w:t>特长方向</w:t>
      </w:r>
      <w:r>
        <w:rPr>
          <w:rFonts w:hint="eastAsia" w:ascii="宋体" w:hAnsi="宋体" w:eastAsia="宋体" w:cs="宋体"/>
          <w:spacing w:val="-6"/>
          <w:kern w:val="0"/>
          <w:sz w:val="28"/>
          <w:szCs w:val="28"/>
          <w:lang w:val="zh-CN" w:bidi="zh-CN"/>
        </w:rPr>
        <w:t>进行相关题材选择。</w:t>
      </w:r>
    </w:p>
    <w:p>
      <w:pPr>
        <w:snapToGrid w:val="0"/>
        <w:textAlignment w:val="baseline"/>
        <w:rPr>
          <w:b/>
          <w:i/>
          <w:caps/>
        </w:rPr>
      </w:pPr>
    </w:p>
    <w:tbl>
      <w:tblPr>
        <w:tblStyle w:val="8"/>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47" w:type="dxa"/>
            <w:gridSpan w:val="2"/>
            <w:vAlign w:val="center"/>
          </w:tcPr>
          <w:p>
            <w:pPr>
              <w:snapToGrid w:val="0"/>
              <w:spacing w:line="400" w:lineRule="exact"/>
              <w:jc w:val="center"/>
              <w:textAlignment w:val="baseline"/>
              <w:rPr>
                <w:b/>
                <w:sz w:val="20"/>
              </w:rPr>
            </w:pPr>
            <w:r>
              <w:rPr>
                <w:rFonts w:hint="eastAsia"/>
                <w:b/>
                <w:bCs/>
                <w:szCs w:val="21"/>
              </w:rPr>
              <w:t>考核要点</w:t>
            </w:r>
          </w:p>
        </w:tc>
        <w:tc>
          <w:tcPr>
            <w:tcW w:w="2551" w:type="dxa"/>
            <w:vAlign w:val="center"/>
          </w:tcPr>
          <w:p>
            <w:pPr>
              <w:snapToGrid w:val="0"/>
              <w:spacing w:line="400" w:lineRule="exact"/>
              <w:jc w:val="center"/>
              <w:textAlignment w:val="baseline"/>
              <w:rPr>
                <w:b/>
                <w:sz w:val="20"/>
              </w:rPr>
            </w:pPr>
            <w:r>
              <w:rPr>
                <w:rFonts w:hint="eastAsia"/>
                <w:b/>
              </w:rPr>
              <w:t>考核</w:t>
            </w:r>
            <w:r>
              <w:rPr>
                <w:b/>
              </w:rPr>
              <w:t>形式</w:t>
            </w:r>
          </w:p>
        </w:tc>
        <w:tc>
          <w:tcPr>
            <w:tcW w:w="3198" w:type="dxa"/>
            <w:vAlign w:val="center"/>
          </w:tcPr>
          <w:p>
            <w:pPr>
              <w:snapToGrid w:val="0"/>
              <w:spacing w:line="400" w:lineRule="exact"/>
              <w:jc w:val="center"/>
              <w:textAlignment w:val="baseline"/>
              <w:rPr>
                <w:b/>
                <w:sz w:val="20"/>
              </w:rPr>
            </w:pPr>
            <w:r>
              <w:rPr>
                <w:rFonts w:hint="eastAsia"/>
                <w:b/>
                <w:bCs/>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Align w:val="center"/>
          </w:tcPr>
          <w:p>
            <w:pPr>
              <w:snapToGrid w:val="0"/>
              <w:jc w:val="center"/>
              <w:textAlignment w:val="baseline"/>
              <w:rPr>
                <w:b/>
                <w:i/>
                <w:caps/>
              </w:rPr>
            </w:pPr>
            <w:r>
              <w:rPr>
                <w:rFonts w:hint="eastAsia"/>
              </w:rPr>
              <w:t>职业</w:t>
            </w:r>
            <w:r>
              <w:t>能</w:t>
            </w:r>
          </w:p>
          <w:p>
            <w:pPr>
              <w:snapToGrid w:val="0"/>
              <w:jc w:val="center"/>
              <w:textAlignment w:val="baseline"/>
              <w:rPr>
                <w:b/>
                <w:i/>
                <w:caps/>
              </w:rPr>
            </w:pPr>
            <w:r>
              <w:t>力测试</w:t>
            </w:r>
          </w:p>
        </w:tc>
        <w:tc>
          <w:tcPr>
            <w:tcW w:w="1559" w:type="dxa"/>
            <w:vAlign w:val="center"/>
          </w:tcPr>
          <w:p>
            <w:pPr>
              <w:snapToGrid w:val="0"/>
              <w:jc w:val="center"/>
              <w:textAlignment w:val="baseline"/>
              <w:rPr>
                <w:b/>
                <w:i/>
                <w:caps/>
              </w:rPr>
            </w:pPr>
            <w:r>
              <w:rPr>
                <w:rFonts w:hint="eastAsia"/>
              </w:rPr>
              <w:t>手绘表现技能</w:t>
            </w:r>
          </w:p>
        </w:tc>
        <w:tc>
          <w:tcPr>
            <w:tcW w:w="2551" w:type="dxa"/>
            <w:vAlign w:val="center"/>
          </w:tcPr>
          <w:p>
            <w:pPr>
              <w:snapToGrid w:val="0"/>
              <w:jc w:val="left"/>
              <w:textAlignment w:val="baseline"/>
              <w:rPr>
                <w:b/>
                <w:i/>
                <w:caps/>
              </w:rPr>
            </w:pPr>
            <w:r>
              <w:rPr>
                <w:rFonts w:hint="eastAsia"/>
                <w:shd w:val="clear" w:color="auto" w:fill="FFFFFF"/>
              </w:rPr>
              <w:t>依据报考专业进行相关题材的绘画创作，并用手绘形式进行表现。</w:t>
            </w:r>
          </w:p>
        </w:tc>
        <w:tc>
          <w:tcPr>
            <w:tcW w:w="3198" w:type="dxa"/>
            <w:vAlign w:val="center"/>
          </w:tcPr>
          <w:p>
            <w:pPr>
              <w:numPr>
                <w:ilvl w:val="0"/>
                <w:numId w:val="2"/>
              </w:numPr>
              <w:snapToGrid w:val="0"/>
              <w:jc w:val="both"/>
              <w:textAlignment w:val="baseline"/>
              <w:rPr>
                <w:sz w:val="20"/>
                <w:shd w:val="clear" w:color="auto" w:fill="FFFFFF"/>
              </w:rPr>
            </w:pPr>
            <w:r>
              <w:rPr>
                <w:rFonts w:hint="eastAsia"/>
                <w:shd w:val="clear" w:color="auto" w:fill="FFFFFF"/>
              </w:rPr>
              <w:t>静物表现（素描）</w:t>
            </w:r>
          </w:p>
          <w:p>
            <w:pPr>
              <w:numPr>
                <w:ilvl w:val="0"/>
                <w:numId w:val="2"/>
              </w:numPr>
              <w:snapToGrid w:val="0"/>
              <w:jc w:val="both"/>
              <w:textAlignment w:val="baseline"/>
              <w:rPr>
                <w:sz w:val="20"/>
                <w:shd w:val="clear" w:color="auto" w:fill="FFFFFF"/>
              </w:rPr>
            </w:pPr>
            <w:r>
              <w:rPr>
                <w:rFonts w:hint="eastAsia"/>
                <w:shd w:val="clear" w:color="auto" w:fill="FFFFFF"/>
              </w:rPr>
              <w:t>风景表现</w:t>
            </w:r>
            <w:r>
              <w:rPr>
                <w:rFonts w:hint="eastAsia"/>
                <w:shd w:val="clear" w:color="auto" w:fill="FFFFFF"/>
                <w:lang w:val="en-US"/>
              </w:rPr>
              <w:t>(色彩或速写)</w:t>
            </w:r>
          </w:p>
          <w:p>
            <w:pPr>
              <w:snapToGrid w:val="0"/>
              <w:jc w:val="both"/>
              <w:textAlignment w:val="baseline"/>
              <w:rPr>
                <w:sz w:val="20"/>
                <w:shd w:val="clear" w:color="auto" w:fill="FFFFFF"/>
              </w:rPr>
            </w:pPr>
            <w:r>
              <w:rPr>
                <w:rFonts w:hint="eastAsia"/>
                <w:shd w:val="clear" w:color="auto" w:fill="FFFFFF"/>
                <w:lang w:val="en-US"/>
              </w:rPr>
              <w:t>3、装</w:t>
            </w:r>
            <w:r>
              <w:rPr>
                <w:rFonts w:hint="eastAsia"/>
                <w:shd w:val="clear" w:color="auto" w:fill="FFFFFF"/>
              </w:rPr>
              <w:t>饰画</w:t>
            </w:r>
          </w:p>
          <w:p>
            <w:pPr>
              <w:snapToGrid w:val="0"/>
              <w:jc w:val="both"/>
              <w:textAlignment w:val="baseline"/>
              <w:rPr>
                <w:sz w:val="20"/>
                <w:shd w:val="clear" w:color="auto" w:fill="FFFFFF"/>
              </w:rPr>
            </w:pPr>
            <w:r>
              <w:rPr>
                <w:rFonts w:hint="eastAsia"/>
                <w:shd w:val="clear" w:color="auto" w:fill="FFFFFF"/>
              </w:rPr>
              <w:t>根据以上</w:t>
            </w:r>
            <w:r>
              <w:rPr>
                <w:rFonts w:hint="eastAsia"/>
                <w:shd w:val="clear" w:color="auto" w:fill="FFFFFF"/>
                <w:lang w:val="en-US"/>
              </w:rPr>
              <w:t>三</w:t>
            </w:r>
            <w:r>
              <w:rPr>
                <w:rFonts w:hint="eastAsia"/>
                <w:shd w:val="clear" w:color="auto" w:fill="FFFFFF"/>
              </w:rPr>
              <w:t>项内容，选择其中一项进行创作（</w:t>
            </w:r>
            <w:r>
              <w:rPr>
                <w:rFonts w:hint="eastAsia"/>
                <w:shd w:val="clear" w:color="auto" w:fill="FFFFFF"/>
                <w:lang w:val="en-US"/>
              </w:rPr>
              <w:t>三</w:t>
            </w:r>
            <w:r>
              <w:rPr>
                <w:rFonts w:hint="eastAsia"/>
                <w:shd w:val="clear" w:color="auto" w:fill="FFFFFF"/>
              </w:rPr>
              <w:t>选一）</w:t>
            </w:r>
          </w:p>
        </w:tc>
      </w:tr>
    </w:tbl>
    <w:p>
      <w:pPr>
        <w:snapToGrid w:val="0"/>
        <w:spacing w:before="61"/>
        <w:textAlignment w:val="baseline"/>
        <w:rPr>
          <w:b/>
          <w:sz w:val="28"/>
        </w:rPr>
      </w:pPr>
    </w:p>
    <w:p>
      <w:pPr>
        <w:pStyle w:val="3"/>
        <w:numPr>
          <w:ilvl w:val="0"/>
          <w:numId w:val="1"/>
        </w:numPr>
        <w:snapToGrid w:val="0"/>
        <w:spacing w:before="137"/>
        <w:ind w:left="0"/>
        <w:textAlignment w:val="baseline"/>
      </w:pPr>
      <w:r>
        <w:t>考核标准及分值</w:t>
      </w:r>
    </w:p>
    <w:p>
      <w:pPr>
        <w:snapToGrid w:val="0"/>
        <w:textAlignment w:val="baseline"/>
        <w:rPr>
          <w:b/>
          <w:i/>
          <w:caps/>
        </w:rPr>
      </w:pPr>
    </w:p>
    <w:tbl>
      <w:tblPr>
        <w:tblStyle w:val="7"/>
        <w:tblW w:w="8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2126"/>
        <w:gridCol w:w="453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82" w:type="dxa"/>
            <w:vAlign w:val="center"/>
          </w:tcPr>
          <w:p>
            <w:pPr>
              <w:pStyle w:val="12"/>
              <w:jc w:val="center"/>
              <w:rPr>
                <w:rFonts w:ascii="仿宋_GB2312" w:eastAsia="仿宋_GB2312"/>
                <w:b/>
                <w:sz w:val="24"/>
              </w:rPr>
            </w:pPr>
            <w:r>
              <w:rPr>
                <w:rFonts w:hint="eastAsia" w:ascii="仿宋_GB2312" w:eastAsia="仿宋_GB2312"/>
                <w:b/>
                <w:sz w:val="24"/>
              </w:rPr>
              <w:t>考核要点</w:t>
            </w:r>
          </w:p>
        </w:tc>
        <w:tc>
          <w:tcPr>
            <w:tcW w:w="2126" w:type="dxa"/>
            <w:vAlign w:val="center"/>
          </w:tcPr>
          <w:p>
            <w:pPr>
              <w:pStyle w:val="12"/>
              <w:jc w:val="center"/>
              <w:rPr>
                <w:rFonts w:ascii="仿宋_GB2312" w:eastAsia="仿宋_GB2312"/>
                <w:b/>
                <w:sz w:val="24"/>
              </w:rPr>
            </w:pPr>
            <w:r>
              <w:rPr>
                <w:rFonts w:hint="eastAsia" w:ascii="仿宋_GB2312" w:eastAsia="仿宋_GB2312"/>
                <w:b/>
                <w:sz w:val="24"/>
              </w:rPr>
              <w:t>考核项目</w:t>
            </w:r>
          </w:p>
        </w:tc>
        <w:tc>
          <w:tcPr>
            <w:tcW w:w="4531" w:type="dxa"/>
            <w:vAlign w:val="center"/>
          </w:tcPr>
          <w:p>
            <w:pPr>
              <w:pStyle w:val="12"/>
              <w:jc w:val="center"/>
              <w:rPr>
                <w:rFonts w:ascii="仿宋_GB2312" w:eastAsia="仿宋_GB2312"/>
                <w:b/>
                <w:sz w:val="24"/>
              </w:rPr>
            </w:pPr>
            <w:r>
              <w:rPr>
                <w:rFonts w:hint="eastAsia" w:ascii="仿宋_GB2312" w:eastAsia="仿宋_GB2312"/>
                <w:b/>
                <w:sz w:val="24"/>
              </w:rPr>
              <w:t>评分标准</w:t>
            </w:r>
          </w:p>
        </w:tc>
        <w:tc>
          <w:tcPr>
            <w:tcW w:w="1133" w:type="dxa"/>
            <w:vAlign w:val="center"/>
          </w:tcPr>
          <w:p>
            <w:pPr>
              <w:pStyle w:val="12"/>
              <w:jc w:val="center"/>
              <w:rPr>
                <w:rFonts w:ascii="仿宋_GB2312" w:eastAsia="仿宋_GB2312"/>
                <w:b/>
                <w:sz w:val="24"/>
              </w:rPr>
            </w:pPr>
            <w:r>
              <w:rPr>
                <w:rFonts w:hint="eastAsia" w:ascii="仿宋_GB2312" w:eastAsia="仿宋_GB2312"/>
                <w:b/>
                <w:sz w:val="24"/>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82" w:type="dxa"/>
            <w:vMerge w:val="restart"/>
            <w:vAlign w:val="center"/>
          </w:tcPr>
          <w:p>
            <w:pPr>
              <w:pStyle w:val="12"/>
              <w:jc w:val="center"/>
              <w:rPr>
                <w:rFonts w:ascii="仿宋_GB2312" w:eastAsia="仿宋_GB2312"/>
                <w:sz w:val="24"/>
              </w:rPr>
            </w:pPr>
            <w:r>
              <w:rPr>
                <w:rFonts w:hint="eastAsia" w:ascii="仿宋_GB2312" w:eastAsia="仿宋_GB2312"/>
                <w:sz w:val="24"/>
              </w:rPr>
              <w:t>专业基本素质</w:t>
            </w:r>
          </w:p>
        </w:tc>
        <w:tc>
          <w:tcPr>
            <w:tcW w:w="2126" w:type="dxa"/>
            <w:vAlign w:val="center"/>
          </w:tcPr>
          <w:p>
            <w:pPr>
              <w:pStyle w:val="12"/>
              <w:jc w:val="center"/>
              <w:rPr>
                <w:rFonts w:ascii="仿宋_GB2312" w:eastAsia="仿宋_GB2312"/>
                <w:sz w:val="24"/>
              </w:rPr>
            </w:pPr>
            <w:r>
              <w:rPr>
                <w:rFonts w:hint="eastAsia" w:ascii="仿宋_GB2312" w:eastAsia="仿宋_GB2312"/>
                <w:sz w:val="24"/>
              </w:rPr>
              <w:t>仪表仪容</w:t>
            </w:r>
          </w:p>
        </w:tc>
        <w:tc>
          <w:tcPr>
            <w:tcW w:w="4531" w:type="dxa"/>
            <w:vAlign w:val="center"/>
          </w:tcPr>
          <w:p>
            <w:pPr>
              <w:pStyle w:val="12"/>
              <w:rPr>
                <w:rFonts w:ascii="仿宋_GB2312" w:eastAsia="仿宋_GB2312"/>
                <w:sz w:val="24"/>
              </w:rPr>
            </w:pPr>
            <w:r>
              <w:rPr>
                <w:rFonts w:hint="eastAsia" w:ascii="仿宋_GB2312" w:eastAsia="仿宋_GB2312"/>
                <w:sz w:val="24"/>
              </w:rPr>
              <w:t>主要考查学生的仪表举止、行为举止等。</w:t>
            </w:r>
          </w:p>
        </w:tc>
        <w:tc>
          <w:tcPr>
            <w:tcW w:w="1133" w:type="dxa"/>
            <w:vAlign w:val="center"/>
          </w:tcPr>
          <w:p>
            <w:pPr>
              <w:pStyle w:val="12"/>
              <w:jc w:val="center"/>
              <w:rPr>
                <w:rFonts w:ascii="仿宋_GB2312" w:eastAsia="仿宋_GB2312"/>
                <w:sz w:val="24"/>
              </w:rPr>
            </w:pPr>
            <w:r>
              <w:rPr>
                <w:rFonts w:ascii="仿宋_GB2312"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182" w:type="dxa"/>
            <w:vMerge w:val="continue"/>
            <w:tcBorders>
              <w:top w:val="nil"/>
            </w:tcBorders>
            <w:vAlign w:val="center"/>
          </w:tcPr>
          <w:p>
            <w:pPr>
              <w:jc w:val="center"/>
              <w:rPr>
                <w:rFonts w:ascii="仿宋_GB2312" w:eastAsia="仿宋_GB2312"/>
                <w:sz w:val="24"/>
                <w:szCs w:val="2"/>
              </w:rPr>
            </w:pPr>
          </w:p>
        </w:tc>
        <w:tc>
          <w:tcPr>
            <w:tcW w:w="2126" w:type="dxa"/>
            <w:vAlign w:val="center"/>
          </w:tcPr>
          <w:p>
            <w:pPr>
              <w:pStyle w:val="12"/>
              <w:jc w:val="center"/>
              <w:rPr>
                <w:rFonts w:ascii="仿宋_GB2312" w:eastAsia="仿宋_GB2312"/>
                <w:sz w:val="24"/>
              </w:rPr>
            </w:pPr>
            <w:r>
              <w:rPr>
                <w:rFonts w:hint="eastAsia" w:ascii="仿宋_GB2312" w:eastAsia="仿宋_GB2312"/>
                <w:sz w:val="24"/>
              </w:rPr>
              <w:t>逻辑思维</w:t>
            </w:r>
          </w:p>
        </w:tc>
        <w:tc>
          <w:tcPr>
            <w:tcW w:w="4531" w:type="dxa"/>
            <w:vAlign w:val="center"/>
          </w:tcPr>
          <w:p>
            <w:pPr>
              <w:pStyle w:val="12"/>
              <w:rPr>
                <w:rFonts w:ascii="仿宋_GB2312" w:eastAsia="仿宋_GB2312"/>
                <w:sz w:val="24"/>
              </w:rPr>
            </w:pPr>
            <w:r>
              <w:rPr>
                <w:rFonts w:hint="eastAsia" w:ascii="仿宋_GB2312" w:eastAsia="仿宋_GB2312"/>
                <w:spacing w:val="-17"/>
                <w:sz w:val="24"/>
              </w:rPr>
              <w:t>主要考查学生的思维逻辑、心理素养、语言表达。</w:t>
            </w:r>
          </w:p>
        </w:tc>
        <w:tc>
          <w:tcPr>
            <w:tcW w:w="1133" w:type="dxa"/>
            <w:vAlign w:val="center"/>
          </w:tcPr>
          <w:p>
            <w:pPr>
              <w:pStyle w:val="12"/>
              <w:jc w:val="center"/>
              <w:rPr>
                <w:rFonts w:ascii="仿宋_GB2312" w:eastAsia="仿宋_GB2312"/>
                <w:sz w:val="24"/>
              </w:rPr>
            </w:pPr>
            <w:r>
              <w:rPr>
                <w:rFonts w:ascii="仿宋_GB2312"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182" w:type="dxa"/>
            <w:vMerge w:val="continue"/>
            <w:tcBorders>
              <w:top w:val="nil"/>
            </w:tcBorders>
            <w:vAlign w:val="center"/>
          </w:tcPr>
          <w:p>
            <w:pPr>
              <w:jc w:val="center"/>
              <w:rPr>
                <w:rFonts w:ascii="仿宋_GB2312" w:eastAsia="仿宋_GB2312"/>
                <w:sz w:val="24"/>
                <w:szCs w:val="2"/>
              </w:rPr>
            </w:pPr>
          </w:p>
        </w:tc>
        <w:tc>
          <w:tcPr>
            <w:tcW w:w="2126" w:type="dxa"/>
            <w:vAlign w:val="center"/>
          </w:tcPr>
          <w:p>
            <w:pPr>
              <w:pStyle w:val="12"/>
              <w:jc w:val="center"/>
              <w:rPr>
                <w:rFonts w:ascii="仿宋_GB2312" w:eastAsia="仿宋_GB2312"/>
                <w:sz w:val="24"/>
              </w:rPr>
            </w:pPr>
            <w:r>
              <w:rPr>
                <w:rFonts w:hint="eastAsia" w:ascii="仿宋_GB2312" w:eastAsia="仿宋_GB2312"/>
                <w:sz w:val="24"/>
              </w:rPr>
              <w:t>专业认知</w:t>
            </w:r>
          </w:p>
        </w:tc>
        <w:tc>
          <w:tcPr>
            <w:tcW w:w="4531" w:type="dxa"/>
            <w:vAlign w:val="center"/>
          </w:tcPr>
          <w:p>
            <w:pPr>
              <w:pStyle w:val="12"/>
              <w:rPr>
                <w:rFonts w:ascii="仿宋_GB2312" w:eastAsia="仿宋_GB2312"/>
                <w:sz w:val="24"/>
              </w:rPr>
            </w:pPr>
            <w:r>
              <w:rPr>
                <w:rFonts w:hint="eastAsia" w:ascii="仿宋_GB2312" w:eastAsia="仿宋_GB2312"/>
                <w:sz w:val="24"/>
              </w:rPr>
              <w:t>主要考查学生的专业认知、职业态度和道德、职业能力倾向、临场应变能力和专业潜力。</w:t>
            </w:r>
          </w:p>
        </w:tc>
        <w:tc>
          <w:tcPr>
            <w:tcW w:w="1133" w:type="dxa"/>
            <w:vAlign w:val="center"/>
          </w:tcPr>
          <w:p>
            <w:pPr>
              <w:pStyle w:val="12"/>
              <w:rPr>
                <w:rFonts w:ascii="仿宋_GB2312" w:eastAsia="仿宋_GB2312"/>
                <w:b/>
                <w:sz w:val="24"/>
              </w:rPr>
            </w:pPr>
          </w:p>
          <w:p>
            <w:pPr>
              <w:pStyle w:val="12"/>
              <w:jc w:val="center"/>
              <w:rPr>
                <w:rFonts w:ascii="仿宋_GB2312" w:eastAsia="仿宋_GB2312"/>
                <w:sz w:val="24"/>
              </w:rPr>
            </w:pPr>
            <w:r>
              <w:rPr>
                <w:rFonts w:ascii="仿宋_GB2312"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182" w:type="dxa"/>
            <w:vMerge w:val="restart"/>
            <w:vAlign w:val="center"/>
          </w:tcPr>
          <w:p>
            <w:pPr>
              <w:pStyle w:val="12"/>
              <w:jc w:val="center"/>
              <w:rPr>
                <w:rFonts w:ascii="仿宋_GB2312" w:eastAsia="仿宋_GB2312"/>
                <w:sz w:val="24"/>
              </w:rPr>
            </w:pPr>
            <w:r>
              <w:rPr>
                <w:rFonts w:hint="eastAsia" w:ascii="仿宋_GB2312" w:eastAsia="仿宋_GB2312"/>
                <w:sz w:val="24"/>
              </w:rPr>
              <w:t>职业能力测试</w:t>
            </w:r>
          </w:p>
          <w:p>
            <w:pPr>
              <w:pStyle w:val="12"/>
              <w:jc w:val="both"/>
              <w:rPr>
                <w:rFonts w:ascii="仿宋_GB2312" w:eastAsia="仿宋_GB2312"/>
                <w:sz w:val="24"/>
              </w:rPr>
            </w:pPr>
            <w:r>
              <w:rPr>
                <w:rFonts w:hint="eastAsia" w:ascii="仿宋_GB2312" w:eastAsia="仿宋_GB2312"/>
                <w:sz w:val="24"/>
              </w:rPr>
              <w:t>（</w:t>
            </w:r>
            <w:r>
              <w:rPr>
                <w:rFonts w:ascii="仿宋_GB2312" w:eastAsia="仿宋_GB2312"/>
                <w:sz w:val="24"/>
                <w:lang w:val="en-US"/>
              </w:rPr>
              <w:t>3</w:t>
            </w:r>
            <w:r>
              <w:rPr>
                <w:rFonts w:hint="eastAsia" w:ascii="仿宋_GB2312" w:eastAsia="仿宋_GB2312"/>
                <w:sz w:val="24"/>
              </w:rPr>
              <w:t>选 1）</w:t>
            </w:r>
          </w:p>
          <w:p>
            <w:pPr>
              <w:pStyle w:val="12"/>
              <w:jc w:val="center"/>
              <w:rPr>
                <w:rFonts w:ascii="仿宋_GB2312" w:eastAsia="仿宋_GB2312"/>
                <w:sz w:val="24"/>
                <w:lang w:val="en-US"/>
              </w:rPr>
            </w:pPr>
            <w:r>
              <w:rPr>
                <w:rFonts w:hint="eastAsia" w:ascii="仿宋_GB2312" w:eastAsia="仿宋_GB2312"/>
                <w:sz w:val="24"/>
                <w:lang w:val="en-US"/>
              </w:rPr>
              <w:t>90分钟</w:t>
            </w:r>
          </w:p>
        </w:tc>
        <w:tc>
          <w:tcPr>
            <w:tcW w:w="2126" w:type="dxa"/>
            <w:vMerge w:val="restart"/>
            <w:vAlign w:val="center"/>
          </w:tcPr>
          <w:p>
            <w:pPr>
              <w:pStyle w:val="12"/>
              <w:rPr>
                <w:rFonts w:ascii="仿宋_GB2312" w:eastAsia="仿宋_GB2312"/>
                <w:spacing w:val="-2"/>
                <w:sz w:val="24"/>
              </w:rPr>
            </w:pPr>
            <w:r>
              <w:rPr>
                <w:rFonts w:ascii="仿宋_GB2312" w:eastAsia="仿宋_GB2312"/>
                <w:spacing w:val="-2"/>
                <w:sz w:val="24"/>
              </w:rPr>
              <w:t>1.静物表现（</w:t>
            </w:r>
            <w:r>
              <w:rPr>
                <w:rFonts w:hint="eastAsia" w:ascii="仿宋_GB2312" w:eastAsia="仿宋_GB2312"/>
                <w:spacing w:val="-2"/>
                <w:sz w:val="24"/>
              </w:rPr>
              <w:t>素</w:t>
            </w:r>
            <w:r>
              <w:rPr>
                <w:rFonts w:ascii="仿宋_GB2312" w:eastAsia="仿宋_GB2312"/>
                <w:spacing w:val="-2"/>
                <w:sz w:val="24"/>
              </w:rPr>
              <w:t>描）</w:t>
            </w:r>
          </w:p>
          <w:p>
            <w:pPr>
              <w:pStyle w:val="12"/>
              <w:rPr>
                <w:rFonts w:ascii="仿宋_GB2312" w:eastAsia="仿宋_GB2312"/>
                <w:spacing w:val="-2"/>
                <w:sz w:val="24"/>
              </w:rPr>
            </w:pPr>
            <w:r>
              <w:rPr>
                <w:rFonts w:ascii="仿宋_GB2312" w:eastAsia="仿宋_GB2312"/>
                <w:spacing w:val="-2"/>
                <w:sz w:val="24"/>
              </w:rPr>
              <w:t>2.风景表现(色彩或速写)</w:t>
            </w:r>
          </w:p>
          <w:p>
            <w:pPr>
              <w:pStyle w:val="12"/>
              <w:rPr>
                <w:rFonts w:ascii="仿宋_GB2312" w:eastAsia="仿宋_GB2312"/>
                <w:spacing w:val="-2"/>
                <w:sz w:val="24"/>
              </w:rPr>
            </w:pPr>
            <w:r>
              <w:rPr>
                <w:rFonts w:ascii="仿宋_GB2312" w:eastAsia="仿宋_GB2312"/>
                <w:spacing w:val="-2"/>
                <w:sz w:val="24"/>
              </w:rPr>
              <w:t>3.装饰画</w:t>
            </w:r>
          </w:p>
          <w:p>
            <w:pPr>
              <w:pStyle w:val="12"/>
              <w:rPr>
                <w:rFonts w:ascii="仿宋_GB2312" w:eastAsia="仿宋_GB2312"/>
                <w:spacing w:val="-2"/>
                <w:sz w:val="24"/>
              </w:rPr>
            </w:pPr>
          </w:p>
        </w:tc>
        <w:tc>
          <w:tcPr>
            <w:tcW w:w="4531" w:type="dxa"/>
            <w:tcBorders>
              <w:bottom w:val="single" w:color="auto" w:sz="4" w:space="0"/>
            </w:tcBorders>
            <w:vAlign w:val="center"/>
          </w:tcPr>
          <w:p>
            <w:pPr>
              <w:pStyle w:val="12"/>
              <w:rPr>
                <w:rFonts w:ascii="仿宋_GB2312" w:eastAsia="仿宋_GB2312"/>
                <w:sz w:val="24"/>
              </w:rPr>
            </w:pPr>
            <w:r>
              <w:rPr>
                <w:rFonts w:hint="eastAsia" w:ascii="仿宋_GB2312" w:eastAsia="仿宋_GB2312"/>
                <w:sz w:val="24"/>
              </w:rPr>
              <w:t>构图合理，线条简洁、流畅；造型形象、生动，色彩鲜艳、搭配协调，主题鲜明，画面丰富。</w:t>
            </w:r>
          </w:p>
        </w:tc>
        <w:tc>
          <w:tcPr>
            <w:tcW w:w="1133" w:type="dxa"/>
            <w:tcBorders>
              <w:bottom w:val="single" w:color="auto" w:sz="4" w:space="0"/>
            </w:tcBorders>
            <w:vAlign w:val="center"/>
          </w:tcPr>
          <w:p>
            <w:pPr>
              <w:pStyle w:val="12"/>
              <w:jc w:val="center"/>
              <w:rPr>
                <w:rFonts w:ascii="仿宋_GB2312" w:eastAsia="仿宋_GB2312"/>
                <w:sz w:val="24"/>
              </w:rPr>
            </w:pPr>
            <w:r>
              <w:rPr>
                <w:rFonts w:hint="eastAsia" w:ascii="仿宋_GB2312" w:eastAsia="仿宋_GB2312"/>
                <w:sz w:val="24"/>
                <w:lang w:val="en-US"/>
              </w:rPr>
              <w:t>40</w:t>
            </w:r>
            <w:r>
              <w:rPr>
                <w:rFonts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182" w:type="dxa"/>
            <w:vMerge w:val="continue"/>
            <w:vAlign w:val="center"/>
          </w:tcPr>
          <w:p>
            <w:pPr>
              <w:pStyle w:val="12"/>
              <w:jc w:val="center"/>
              <w:rPr>
                <w:rFonts w:ascii="仿宋_GB2312" w:eastAsia="仿宋_GB2312"/>
                <w:sz w:val="24"/>
              </w:rPr>
            </w:pPr>
          </w:p>
        </w:tc>
        <w:tc>
          <w:tcPr>
            <w:tcW w:w="2126" w:type="dxa"/>
            <w:vMerge w:val="continue"/>
            <w:vAlign w:val="center"/>
          </w:tcPr>
          <w:p>
            <w:pPr>
              <w:pStyle w:val="12"/>
              <w:rPr>
                <w:rFonts w:ascii="仿宋_GB2312" w:eastAsia="仿宋_GB2312"/>
                <w:spacing w:val="-2"/>
                <w:sz w:val="24"/>
              </w:rPr>
            </w:pPr>
          </w:p>
        </w:tc>
        <w:tc>
          <w:tcPr>
            <w:tcW w:w="4531" w:type="dxa"/>
            <w:tcBorders>
              <w:top w:val="single" w:color="auto" w:sz="4" w:space="0"/>
              <w:bottom w:val="single" w:color="auto" w:sz="4" w:space="0"/>
            </w:tcBorders>
            <w:vAlign w:val="center"/>
          </w:tcPr>
          <w:p>
            <w:pPr>
              <w:pStyle w:val="12"/>
              <w:rPr>
                <w:rFonts w:ascii="仿宋_GB2312" w:eastAsia="仿宋_GB2312"/>
                <w:sz w:val="24"/>
              </w:rPr>
            </w:pPr>
            <w:r>
              <w:rPr>
                <w:rFonts w:hint="eastAsia" w:ascii="仿宋_GB2312" w:eastAsia="仿宋_GB2312"/>
                <w:sz w:val="24"/>
              </w:rPr>
              <w:t>画面生动，富有</w:t>
            </w:r>
            <w:r>
              <w:rPr>
                <w:rFonts w:hint="eastAsia" w:ascii="仿宋_GB2312" w:eastAsia="仿宋_GB2312"/>
                <w:sz w:val="24"/>
                <w:lang w:val="en-US"/>
              </w:rPr>
              <w:t>想象力</w:t>
            </w:r>
            <w:r>
              <w:rPr>
                <w:rFonts w:hint="eastAsia" w:ascii="仿宋_GB2312" w:eastAsia="仿宋_GB2312"/>
                <w:sz w:val="24"/>
              </w:rPr>
              <w:t>，</w:t>
            </w:r>
            <w:r>
              <w:rPr>
                <w:rFonts w:hint="eastAsia" w:ascii="仿宋_GB2312" w:eastAsia="仿宋_GB2312"/>
                <w:sz w:val="24"/>
                <w:lang w:val="en-US"/>
              </w:rPr>
              <w:t>表现力丰富。</w:t>
            </w:r>
          </w:p>
        </w:tc>
        <w:tc>
          <w:tcPr>
            <w:tcW w:w="1133" w:type="dxa"/>
            <w:tcBorders>
              <w:top w:val="single" w:color="auto" w:sz="4" w:space="0"/>
              <w:bottom w:val="single" w:color="auto" w:sz="4" w:space="0"/>
            </w:tcBorders>
            <w:vAlign w:val="center"/>
          </w:tcPr>
          <w:p>
            <w:pPr>
              <w:pStyle w:val="12"/>
              <w:jc w:val="center"/>
              <w:rPr>
                <w:rFonts w:ascii="仿宋_GB2312" w:eastAsia="仿宋_GB2312"/>
                <w:sz w:val="24"/>
                <w:lang w:val="en-US"/>
              </w:rPr>
            </w:pPr>
            <w:r>
              <w:rPr>
                <w:rFonts w:hint="eastAsia" w:ascii="仿宋_GB2312" w:eastAsia="仿宋_GB2312"/>
                <w:sz w:val="24"/>
                <w:lang w:val="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182" w:type="dxa"/>
            <w:vMerge w:val="continue"/>
            <w:vAlign w:val="center"/>
          </w:tcPr>
          <w:p>
            <w:pPr>
              <w:pStyle w:val="12"/>
              <w:jc w:val="center"/>
              <w:rPr>
                <w:rFonts w:ascii="仿宋_GB2312" w:eastAsia="仿宋_GB2312"/>
                <w:sz w:val="24"/>
              </w:rPr>
            </w:pPr>
          </w:p>
        </w:tc>
        <w:tc>
          <w:tcPr>
            <w:tcW w:w="2126" w:type="dxa"/>
            <w:vMerge w:val="continue"/>
            <w:vAlign w:val="center"/>
          </w:tcPr>
          <w:p>
            <w:pPr>
              <w:pStyle w:val="12"/>
              <w:rPr>
                <w:rFonts w:ascii="仿宋_GB2312" w:eastAsia="仿宋_GB2312"/>
                <w:spacing w:val="-2"/>
                <w:sz w:val="24"/>
              </w:rPr>
            </w:pPr>
          </w:p>
        </w:tc>
        <w:tc>
          <w:tcPr>
            <w:tcW w:w="4531" w:type="dxa"/>
            <w:tcBorders>
              <w:top w:val="single" w:color="auto" w:sz="4" w:space="0"/>
            </w:tcBorders>
            <w:vAlign w:val="center"/>
          </w:tcPr>
          <w:p>
            <w:pPr>
              <w:pStyle w:val="12"/>
              <w:rPr>
                <w:rFonts w:ascii="仿宋_GB2312" w:eastAsia="仿宋_GB2312"/>
                <w:sz w:val="24"/>
              </w:rPr>
            </w:pPr>
            <w:r>
              <w:rPr>
                <w:rFonts w:hint="eastAsia" w:ascii="仿宋_GB2312" w:eastAsia="仿宋_GB2312"/>
                <w:sz w:val="24"/>
              </w:rPr>
              <w:t>画面富有美感，具有新颖性和个性表现。</w:t>
            </w:r>
          </w:p>
        </w:tc>
        <w:tc>
          <w:tcPr>
            <w:tcW w:w="1133" w:type="dxa"/>
            <w:tcBorders>
              <w:top w:val="single" w:color="auto" w:sz="4" w:space="0"/>
            </w:tcBorders>
            <w:vAlign w:val="center"/>
          </w:tcPr>
          <w:p>
            <w:pPr>
              <w:pStyle w:val="12"/>
              <w:jc w:val="center"/>
              <w:rPr>
                <w:rFonts w:ascii="仿宋_GB2312" w:eastAsia="仿宋_GB2312"/>
                <w:sz w:val="24"/>
              </w:rPr>
            </w:pPr>
            <w:r>
              <w:rPr>
                <w:rFonts w:hint="eastAsia" w:ascii="仿宋_GB2312" w:eastAsia="仿宋_GB2312"/>
                <w:sz w:val="24"/>
                <w:lang w:val="en-US"/>
              </w:rPr>
              <w:t>15%</w:t>
            </w:r>
          </w:p>
        </w:tc>
      </w:tr>
    </w:tbl>
    <w:p>
      <w:pPr>
        <w:pStyle w:val="4"/>
        <w:snapToGrid w:val="0"/>
        <w:textAlignment w:val="baseline"/>
        <w:rPr>
          <w:b/>
        </w:rPr>
      </w:pPr>
    </w:p>
    <w:p>
      <w:pPr>
        <w:snapToGrid w:val="0"/>
        <w:ind w:left="647"/>
        <w:textAlignment w:val="baseline"/>
        <w:rPr>
          <w:b/>
          <w:sz w:val="28"/>
        </w:rPr>
      </w:pPr>
      <w:r>
        <w:rPr>
          <w:b/>
          <w:sz w:val="28"/>
        </w:rPr>
        <w:t>六、 其他事项</w:t>
      </w:r>
    </w:p>
    <w:p>
      <w:pPr>
        <w:pStyle w:val="4"/>
        <w:snapToGrid w:val="0"/>
        <w:spacing w:before="172"/>
        <w:ind w:left="676"/>
        <w:textAlignment w:val="baseline"/>
      </w:pPr>
      <w:r>
        <w:t>考生需自备</w:t>
      </w:r>
      <w:r>
        <w:rPr>
          <w:rFonts w:hint="eastAsia"/>
          <w:lang w:val="en-US"/>
        </w:rPr>
        <w:t>考试所需画材</w:t>
      </w:r>
      <w:r>
        <w:t>，测试所需</w:t>
      </w:r>
      <w:r>
        <w:rPr>
          <w:rFonts w:hint="eastAsia"/>
          <w:lang w:val="en-US"/>
        </w:rPr>
        <w:t>试卷</w:t>
      </w:r>
      <w:r>
        <w:t>由考点负责准备。</w:t>
      </w:r>
      <w:bookmarkStart w:id="0" w:name="_GoBack"/>
      <w:bookmarkEnd w:id="0"/>
    </w:p>
    <w:p>
      <w:pPr>
        <w:pStyle w:val="4"/>
        <w:snapToGrid w:val="0"/>
        <w:spacing w:before="172"/>
        <w:ind w:left="676"/>
        <w:textAlignment w:val="baseline"/>
      </w:pPr>
    </w:p>
    <w:p>
      <w:pPr>
        <w:pStyle w:val="4"/>
        <w:snapToGrid w:val="0"/>
        <w:spacing w:before="172"/>
        <w:ind w:left="676"/>
        <w:textAlignment w:val="baseline"/>
      </w:pPr>
    </w:p>
    <w:p>
      <w:pPr>
        <w:pStyle w:val="4"/>
        <w:spacing w:line="600" w:lineRule="exact"/>
        <w:ind w:firstLine="616" w:firstLineChars="200"/>
        <w:jc w:val="right"/>
        <w:rPr>
          <w:rFonts w:ascii="仿宋_GB2312" w:eastAsia="仿宋_GB2312"/>
          <w:spacing w:val="-6"/>
          <w:sz w:val="32"/>
        </w:rPr>
      </w:pPr>
      <w:r>
        <w:rPr>
          <w:rFonts w:ascii="仿宋_GB2312" w:eastAsia="仿宋_GB2312"/>
          <w:spacing w:val="-6"/>
          <w:sz w:val="32"/>
        </w:rPr>
        <w:t>四川城市职业学院</w:t>
      </w:r>
    </w:p>
    <w:p>
      <w:pPr>
        <w:pStyle w:val="4"/>
        <w:snapToGrid w:val="0"/>
        <w:spacing w:before="172"/>
        <w:ind w:left="676"/>
        <w:textAlignment w:val="baseline"/>
      </w:pPr>
      <w:r>
        <w:rPr>
          <w:rFonts w:hint="eastAsia" w:ascii="仿宋_GB2312" w:eastAsia="仿宋_GB2312"/>
          <w:spacing w:val="-6"/>
          <w:sz w:val="32"/>
          <w:lang w:val="en-US"/>
        </w:rPr>
        <w:t xml:space="preserve">                                   </w:t>
      </w:r>
      <w:r>
        <w:rPr>
          <w:rFonts w:ascii="仿宋_GB2312" w:eastAsia="仿宋_GB2312"/>
          <w:spacing w:val="-6"/>
          <w:sz w:val="32"/>
        </w:rPr>
        <w:t xml:space="preserve">     20</w:t>
      </w:r>
      <w:r>
        <w:rPr>
          <w:rFonts w:hint="eastAsia" w:ascii="仿宋_GB2312" w:eastAsia="仿宋_GB2312"/>
          <w:spacing w:val="-6"/>
          <w:sz w:val="32"/>
        </w:rPr>
        <w:t>2</w:t>
      </w:r>
      <w:r>
        <w:rPr>
          <w:rFonts w:hint="eastAsia" w:ascii="仿宋_GB2312" w:eastAsia="仿宋_GB2312"/>
          <w:spacing w:val="-6"/>
          <w:sz w:val="32"/>
          <w:lang w:val="en-US" w:eastAsia="zh-CN"/>
        </w:rPr>
        <w:t>3</w:t>
      </w:r>
      <w:r>
        <w:rPr>
          <w:rFonts w:ascii="仿宋_GB2312" w:eastAsia="仿宋_GB2312"/>
          <w:spacing w:val="-6"/>
          <w:sz w:val="32"/>
        </w:rPr>
        <w:t>年</w:t>
      </w:r>
      <w:r>
        <w:rPr>
          <w:rFonts w:hint="eastAsia" w:ascii="仿宋_GB2312" w:eastAsia="仿宋_GB2312"/>
          <w:spacing w:val="-6"/>
          <w:sz w:val="32"/>
          <w:lang w:val="en-US" w:eastAsia="zh-CN"/>
        </w:rPr>
        <w:t>2</w:t>
      </w:r>
      <w:r>
        <w:rPr>
          <w:rFonts w:ascii="仿宋_GB2312" w:eastAsia="仿宋_GB2312"/>
          <w:spacing w:val="-6"/>
          <w:sz w:val="32"/>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仿宋"/>
    <w:panose1 w:val="020B0604020202020204"/>
    <w:charset w:val="86"/>
    <w:family w:val="decorative"/>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FCA8A"/>
    <w:multiLevelType w:val="singleLevel"/>
    <w:tmpl w:val="DB1FCA8A"/>
    <w:lvl w:ilvl="0" w:tentative="0">
      <w:start w:val="1"/>
      <w:numFmt w:val="decimal"/>
      <w:suff w:val="nothing"/>
      <w:lvlText w:val="%1、"/>
      <w:lvlJc w:val="left"/>
    </w:lvl>
  </w:abstractNum>
  <w:abstractNum w:abstractNumId="1">
    <w:nsid w:val="DB4A8E6F"/>
    <w:multiLevelType w:val="singleLevel"/>
    <w:tmpl w:val="DB4A8E6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TJjY2YyMjlhNjA3MTQxN2NhOTE1OTQyYzA0YTUifQ=="/>
  </w:docVars>
  <w:rsids>
    <w:rsidRoot w:val="009F2E7C"/>
    <w:rsid w:val="000F388B"/>
    <w:rsid w:val="001E3407"/>
    <w:rsid w:val="00287CB8"/>
    <w:rsid w:val="002F3AB2"/>
    <w:rsid w:val="003D6AA5"/>
    <w:rsid w:val="00505AE4"/>
    <w:rsid w:val="005101DE"/>
    <w:rsid w:val="005B4325"/>
    <w:rsid w:val="005D3965"/>
    <w:rsid w:val="00736553"/>
    <w:rsid w:val="00874282"/>
    <w:rsid w:val="008847C4"/>
    <w:rsid w:val="008D0B92"/>
    <w:rsid w:val="00947522"/>
    <w:rsid w:val="009C29D1"/>
    <w:rsid w:val="009F2515"/>
    <w:rsid w:val="009F2E7C"/>
    <w:rsid w:val="00D81154"/>
    <w:rsid w:val="17C02023"/>
    <w:rsid w:val="1AB303E7"/>
    <w:rsid w:val="1ED5749E"/>
    <w:rsid w:val="2E8A4DB3"/>
    <w:rsid w:val="40B321AB"/>
    <w:rsid w:val="418A330B"/>
    <w:rsid w:val="4EB81571"/>
    <w:rsid w:val="5D3938BF"/>
    <w:rsid w:val="5EE930F9"/>
    <w:rsid w:val="7716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Words>
  <Characters>741</Characters>
  <Lines>6</Lines>
  <Paragraphs>1</Paragraphs>
  <TotalTime>15</TotalTime>
  <ScaleCrop>false</ScaleCrop>
  <LinksUpToDate>false</LinksUpToDate>
  <CharactersWithSpaces>870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MING</cp:lastModifiedBy>
  <dcterms:modified xsi:type="dcterms:W3CDTF">2023-02-17T00:07:22Z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2052-11.1.0.12980</vt:lpwstr>
  </property>
  <property fmtid="{D5CDD505-2E9C-101B-9397-08002B2CF9AE}" pid="6" name="ICV">
    <vt:lpwstr>49701A4E52B541AEB33517D21EE8B688</vt:lpwstr>
  </property>
</Properties>
</file>