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cs="宋体"/>
          <w:b/>
          <w:color w:val="000000"/>
          <w:sz w:val="36"/>
          <w:szCs w:val="36"/>
        </w:rPr>
      </w:pPr>
      <w:r>
        <w:rPr>
          <w:rFonts w:hint="eastAsia" w:ascii="宋体" w:hAnsi="宋体" w:cs="宋体"/>
          <w:b/>
          <w:color w:val="000000"/>
          <w:sz w:val="36"/>
          <w:szCs w:val="36"/>
        </w:rPr>
        <w:t>四川城市职业学院20</w:t>
      </w:r>
      <w:r>
        <w:rPr>
          <w:rFonts w:ascii="宋体" w:hAnsi="宋体" w:cs="宋体"/>
          <w:b/>
          <w:color w:val="000000"/>
          <w:sz w:val="36"/>
          <w:szCs w:val="36"/>
        </w:rPr>
        <w:t>2</w:t>
      </w:r>
      <w:r>
        <w:rPr>
          <w:rFonts w:hint="default" w:ascii="宋体" w:hAnsi="宋体" w:cs="宋体"/>
          <w:b/>
          <w:color w:val="000000"/>
          <w:sz w:val="36"/>
          <w:szCs w:val="36"/>
        </w:rPr>
        <w:t>3</w:t>
      </w:r>
      <w:r>
        <w:rPr>
          <w:rFonts w:hint="eastAsia" w:ascii="宋体" w:hAnsi="宋体" w:cs="宋体"/>
          <w:b/>
          <w:color w:val="000000"/>
          <w:sz w:val="36"/>
          <w:szCs w:val="36"/>
        </w:rPr>
        <w:t>年单独招生考试</w:t>
      </w:r>
    </w:p>
    <w:p>
      <w:pPr>
        <w:spacing w:line="500" w:lineRule="exact"/>
        <w:jc w:val="center"/>
        <w:rPr>
          <w:rFonts w:ascii="宋体" w:hAnsi="宋体" w:cs="宋体"/>
          <w:b/>
          <w:color w:val="000000"/>
          <w:sz w:val="36"/>
          <w:szCs w:val="36"/>
        </w:rPr>
      </w:pPr>
      <w:r>
        <w:rPr>
          <w:rFonts w:hint="eastAsia" w:ascii="宋体" w:hAnsi="宋体" w:cs="宋体"/>
          <w:b/>
          <w:color w:val="000000"/>
          <w:sz w:val="36"/>
          <w:szCs w:val="36"/>
        </w:rPr>
        <w:t>应用英语专业综合</w:t>
      </w:r>
      <w:r>
        <w:rPr>
          <w:rFonts w:ascii="宋体" w:hAnsi="宋体" w:cs="宋体"/>
          <w:b/>
          <w:color w:val="000000"/>
          <w:sz w:val="36"/>
          <w:szCs w:val="36"/>
        </w:rPr>
        <w:t>测试指南</w:t>
      </w:r>
    </w:p>
    <w:p>
      <w:pPr>
        <w:widowControl/>
        <w:snapToGrid w:val="0"/>
        <w:spacing w:line="400" w:lineRule="exact"/>
        <w:ind w:firstLine="480" w:firstLineChars="200"/>
        <w:jc w:val="left"/>
        <w:rPr>
          <w:rFonts w:ascii="黑体" w:hAnsi="黑体" w:eastAsia="黑体" w:cs="宋体"/>
          <w:color w:val="000000" w:themeColor="text1"/>
          <w:kern w:val="0"/>
          <w:sz w:val="24"/>
          <w14:textFill>
            <w14:solidFill>
              <w14:schemeClr w14:val="tx1"/>
            </w14:solidFill>
          </w14:textFill>
        </w:rPr>
      </w:pPr>
    </w:p>
    <w:p>
      <w:pPr>
        <w:spacing w:line="360" w:lineRule="auto"/>
        <w:ind w:left="567"/>
        <w:rPr>
          <w:b/>
          <w:sz w:val="28"/>
          <w:szCs w:val="28"/>
        </w:rPr>
      </w:pPr>
      <w:r>
        <w:rPr>
          <w:rFonts w:hint="eastAsia"/>
          <w:b/>
          <w:sz w:val="28"/>
          <w:szCs w:val="28"/>
        </w:rPr>
        <w:t>一、考试性质</w:t>
      </w:r>
    </w:p>
    <w:p>
      <w:pPr>
        <w:spacing w:line="400" w:lineRule="exact"/>
        <w:ind w:firstLine="495" w:firstLineChars="177"/>
        <w:jc w:val="left"/>
        <w:rPr>
          <w:sz w:val="28"/>
          <w:szCs w:val="28"/>
        </w:rPr>
      </w:pPr>
      <w:r>
        <w:rPr>
          <w:rFonts w:hint="eastAsia"/>
          <w:sz w:val="28"/>
          <w:szCs w:val="28"/>
        </w:rPr>
        <w:t>单独招生综合</w:t>
      </w:r>
      <w:r>
        <w:rPr>
          <w:rFonts w:hint="eastAsia"/>
          <w:bCs/>
          <w:sz w:val="28"/>
          <w:szCs w:val="28"/>
        </w:rPr>
        <w:t>测试</w:t>
      </w:r>
      <w:r>
        <w:rPr>
          <w:rFonts w:hint="eastAsia"/>
          <w:sz w:val="28"/>
          <w:szCs w:val="28"/>
        </w:rPr>
        <w:t>是面向普通高中毕业生、中等职业技术学院考生（对口高职）考生参加的选拔性考试，是单招考试的组成部分。本测试指南适用于中等职业技术学院考生（对口高职）参加应用英语专业人才的选拔。</w:t>
      </w:r>
    </w:p>
    <w:p>
      <w:pPr>
        <w:widowControl/>
        <w:snapToGrid w:val="0"/>
        <w:spacing w:line="400" w:lineRule="exact"/>
        <w:ind w:firstLine="480" w:firstLineChars="200"/>
        <w:jc w:val="left"/>
        <w:rPr>
          <w:rFonts w:ascii="黑体" w:hAnsi="黑体" w:eastAsia="黑体" w:cs="宋体"/>
          <w:color w:val="000000" w:themeColor="text1"/>
          <w:kern w:val="0"/>
          <w:sz w:val="24"/>
          <w14:textFill>
            <w14:solidFill>
              <w14:schemeClr w14:val="tx1"/>
            </w14:solidFill>
          </w14:textFill>
        </w:rPr>
      </w:pPr>
    </w:p>
    <w:p>
      <w:pPr>
        <w:spacing w:line="360" w:lineRule="auto"/>
        <w:ind w:left="567"/>
        <w:rPr>
          <w:b/>
          <w:sz w:val="28"/>
          <w:szCs w:val="28"/>
        </w:rPr>
      </w:pPr>
      <w:r>
        <w:rPr>
          <w:rFonts w:hint="eastAsia"/>
          <w:b/>
          <w:sz w:val="28"/>
          <w:szCs w:val="28"/>
        </w:rPr>
        <w:t>二、制定依据</w:t>
      </w:r>
    </w:p>
    <w:p>
      <w:pPr>
        <w:widowControl/>
        <w:snapToGrid w:val="0"/>
        <w:spacing w:line="400" w:lineRule="exact"/>
        <w:ind w:firstLine="560" w:firstLineChars="200"/>
        <w:jc w:val="left"/>
        <w:rPr>
          <w:sz w:val="28"/>
          <w:szCs w:val="28"/>
          <w:u w:color="000000"/>
        </w:rPr>
      </w:pPr>
      <w:r>
        <w:rPr>
          <w:rFonts w:hint="eastAsia"/>
          <w:sz w:val="28"/>
          <w:szCs w:val="28"/>
          <w:u w:color="000000"/>
        </w:rPr>
        <w:t>以教育部中等职业学校应用英语、商务英语等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widowControl/>
        <w:snapToGrid w:val="0"/>
        <w:spacing w:line="400" w:lineRule="exact"/>
        <w:ind w:firstLine="560" w:firstLineChars="200"/>
        <w:jc w:val="left"/>
        <w:rPr>
          <w:sz w:val="28"/>
          <w:szCs w:val="28"/>
          <w:u w:color="000000"/>
        </w:rPr>
      </w:pPr>
    </w:p>
    <w:p>
      <w:pPr>
        <w:spacing w:line="360" w:lineRule="auto"/>
        <w:ind w:left="567"/>
        <w:rPr>
          <w:b/>
          <w:sz w:val="28"/>
          <w:szCs w:val="28"/>
        </w:rPr>
      </w:pPr>
      <w:r>
        <w:rPr>
          <w:rFonts w:hint="eastAsia"/>
          <w:b/>
          <w:sz w:val="28"/>
          <w:szCs w:val="28"/>
        </w:rPr>
        <w:t>三、考核方法</w:t>
      </w:r>
    </w:p>
    <w:p>
      <w:pPr>
        <w:widowControl/>
        <w:snapToGrid w:val="0"/>
        <w:spacing w:line="400" w:lineRule="exact"/>
        <w:ind w:firstLine="560" w:firstLineChars="200"/>
        <w:jc w:val="left"/>
        <w:rPr>
          <w:sz w:val="28"/>
          <w:szCs w:val="28"/>
        </w:rPr>
      </w:pPr>
      <w:r>
        <w:rPr>
          <w:rFonts w:hint="eastAsia"/>
          <w:sz w:val="28"/>
          <w:szCs w:val="28"/>
        </w:rPr>
        <w:t>采用常规面试与专业技能测试相结合的形式，考官根据考生面试表现独立评分。</w:t>
      </w:r>
    </w:p>
    <w:p>
      <w:pPr>
        <w:widowControl/>
        <w:snapToGrid w:val="0"/>
        <w:spacing w:line="400" w:lineRule="exact"/>
        <w:ind w:firstLine="561" w:firstLineChars="200"/>
        <w:jc w:val="left"/>
        <w:rPr>
          <w:b/>
          <w:sz w:val="28"/>
          <w:szCs w:val="28"/>
        </w:rPr>
      </w:pPr>
    </w:p>
    <w:p>
      <w:pPr>
        <w:spacing w:line="360" w:lineRule="auto"/>
        <w:ind w:left="567"/>
        <w:rPr>
          <w:b/>
          <w:sz w:val="28"/>
          <w:szCs w:val="28"/>
        </w:rPr>
      </w:pPr>
      <w:r>
        <w:rPr>
          <w:rFonts w:hint="eastAsia"/>
          <w:b/>
          <w:sz w:val="28"/>
          <w:szCs w:val="28"/>
        </w:rPr>
        <w:t>四、考核要点及形式</w:t>
      </w:r>
    </w:p>
    <w:tbl>
      <w:tblPr>
        <w:tblStyle w:val="9"/>
        <w:tblW w:w="82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8"/>
        <w:gridCol w:w="1559"/>
        <w:gridCol w:w="2551"/>
        <w:gridCol w:w="31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23" w:hRule="atLeast"/>
          <w:jc w:val="center"/>
        </w:trPr>
        <w:tc>
          <w:tcPr>
            <w:tcW w:w="2547" w:type="dxa"/>
            <w:gridSpan w:val="2"/>
            <w:vAlign w:val="center"/>
          </w:tcPr>
          <w:p>
            <w:pPr>
              <w:spacing w:line="400" w:lineRule="exact"/>
              <w:jc w:val="center"/>
              <w:rPr>
                <w:b/>
              </w:rPr>
            </w:pPr>
            <w:r>
              <w:rPr>
                <w:rFonts w:hint="eastAsia"/>
                <w:b/>
                <w:bCs/>
                <w:szCs w:val="21"/>
              </w:rPr>
              <w:t>考核要点</w:t>
            </w:r>
          </w:p>
        </w:tc>
        <w:tc>
          <w:tcPr>
            <w:tcW w:w="2551" w:type="dxa"/>
            <w:vAlign w:val="center"/>
          </w:tcPr>
          <w:p>
            <w:pPr>
              <w:spacing w:line="400" w:lineRule="exact"/>
              <w:jc w:val="center"/>
              <w:rPr>
                <w:b/>
              </w:rPr>
            </w:pPr>
            <w:r>
              <w:rPr>
                <w:rFonts w:hint="eastAsia"/>
                <w:b/>
              </w:rPr>
              <w:t>考核</w:t>
            </w:r>
            <w:r>
              <w:rPr>
                <w:b/>
              </w:rPr>
              <w:t>形式</w:t>
            </w:r>
          </w:p>
        </w:tc>
        <w:tc>
          <w:tcPr>
            <w:tcW w:w="3198" w:type="dxa"/>
            <w:vAlign w:val="center"/>
          </w:tcPr>
          <w:p>
            <w:pPr>
              <w:spacing w:line="400" w:lineRule="exact"/>
              <w:jc w:val="center"/>
              <w:rPr>
                <w:b/>
              </w:rPr>
            </w:pPr>
            <w:r>
              <w:rPr>
                <w:rFonts w:hint="eastAsia"/>
                <w:b/>
                <w:bCs/>
                <w:szCs w:val="21"/>
              </w:rPr>
              <w:t>考核内容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9" w:hRule="atLeast"/>
          <w:jc w:val="center"/>
        </w:trPr>
        <w:tc>
          <w:tcPr>
            <w:tcW w:w="988" w:type="dxa"/>
            <w:vMerge w:val="restart"/>
            <w:vAlign w:val="center"/>
          </w:tcPr>
          <w:p>
            <w:r>
              <w:rPr>
                <w:rFonts w:hint="eastAsia"/>
              </w:rPr>
              <w:t>专业基</w:t>
            </w:r>
          </w:p>
          <w:p>
            <w:r>
              <w:rPr>
                <w:rFonts w:hint="eastAsia"/>
              </w:rPr>
              <w:t>本素质</w:t>
            </w:r>
          </w:p>
        </w:tc>
        <w:tc>
          <w:tcPr>
            <w:tcW w:w="1559" w:type="dxa"/>
            <w:vAlign w:val="center"/>
          </w:tcPr>
          <w:p>
            <w:pPr>
              <w:jc w:val="center"/>
            </w:pPr>
            <w:r>
              <w:rPr>
                <w:rFonts w:hint="eastAsia"/>
              </w:rPr>
              <w:t>基础素养</w:t>
            </w:r>
          </w:p>
        </w:tc>
        <w:tc>
          <w:tcPr>
            <w:tcW w:w="2551" w:type="dxa"/>
            <w:vMerge w:val="restart"/>
            <w:vAlign w:val="center"/>
          </w:tcPr>
          <w:p>
            <w:r>
              <w:rPr>
                <w:rFonts w:hint="eastAsia"/>
              </w:rPr>
              <w:t>英语个人自述：主要介绍本人优缺点、特长及爱好等（自述内容不能涉及个人基本信息）；其次</w:t>
            </w:r>
            <w:r>
              <w:t>简单</w:t>
            </w:r>
            <w:r>
              <w:rPr>
                <w:rFonts w:hint="eastAsia"/>
              </w:rPr>
              <w:t>介绍本专业学习情况。</w:t>
            </w:r>
          </w:p>
        </w:tc>
        <w:tc>
          <w:tcPr>
            <w:tcW w:w="3198" w:type="dxa"/>
            <w:vAlign w:val="center"/>
          </w:tcPr>
          <w:p>
            <w:r>
              <w:rPr>
                <w:rFonts w:hint="eastAsia"/>
              </w:rPr>
              <w:t>仪表举止、表达能力、基本素养和逻辑思维能力。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45" w:hRule="atLeast"/>
          <w:jc w:val="center"/>
        </w:trPr>
        <w:tc>
          <w:tcPr>
            <w:tcW w:w="988" w:type="dxa"/>
            <w:vMerge w:val="continue"/>
            <w:vAlign w:val="center"/>
          </w:tcPr>
          <w:p>
            <w:pPr>
              <w:jc w:val="center"/>
            </w:pPr>
          </w:p>
        </w:tc>
        <w:tc>
          <w:tcPr>
            <w:tcW w:w="1559" w:type="dxa"/>
            <w:vAlign w:val="center"/>
          </w:tcPr>
          <w:p>
            <w:pPr>
              <w:jc w:val="center"/>
            </w:pPr>
            <w:r>
              <w:rPr>
                <w:rFonts w:hint="eastAsia"/>
              </w:rPr>
              <w:t>专业</w:t>
            </w:r>
            <w:r>
              <w:t>认知</w:t>
            </w:r>
          </w:p>
        </w:tc>
        <w:tc>
          <w:tcPr>
            <w:tcW w:w="2551" w:type="dxa"/>
            <w:vMerge w:val="continue"/>
            <w:vAlign w:val="center"/>
          </w:tcPr>
          <w:p/>
        </w:tc>
        <w:tc>
          <w:tcPr>
            <w:tcW w:w="3198" w:type="dxa"/>
            <w:vAlign w:val="center"/>
          </w:tcPr>
          <w:p>
            <w:r>
              <w:rPr>
                <w:rFonts w:hint="eastAsia"/>
              </w:rPr>
              <w:t>专业认知、职业能力倾向、专业潜力。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697" w:hRule="atLeast"/>
          <w:jc w:val="center"/>
        </w:trPr>
        <w:tc>
          <w:tcPr>
            <w:tcW w:w="988" w:type="dxa"/>
            <w:vAlign w:val="center"/>
          </w:tcPr>
          <w:p>
            <w:pPr>
              <w:jc w:val="center"/>
            </w:pPr>
            <w:r>
              <w:rPr>
                <w:rFonts w:hint="eastAsia"/>
              </w:rPr>
              <w:t>职业</w:t>
            </w:r>
            <w:r>
              <w:t>能</w:t>
            </w:r>
          </w:p>
          <w:p>
            <w:pPr>
              <w:jc w:val="center"/>
            </w:pPr>
            <w:r>
              <w:t>力测试</w:t>
            </w:r>
          </w:p>
        </w:tc>
        <w:tc>
          <w:tcPr>
            <w:tcW w:w="1559" w:type="dxa"/>
            <w:vAlign w:val="center"/>
          </w:tcPr>
          <w:p>
            <w:pPr>
              <w:jc w:val="center"/>
            </w:pPr>
            <w:r>
              <w:rPr>
                <w:rFonts w:hint="eastAsia"/>
              </w:rPr>
              <w:t>英语专业技能</w:t>
            </w:r>
          </w:p>
        </w:tc>
        <w:tc>
          <w:tcPr>
            <w:tcW w:w="2551" w:type="dxa"/>
            <w:vAlign w:val="center"/>
          </w:tcPr>
          <w:p>
            <w:r>
              <w:rPr>
                <w:rFonts w:hint="eastAsia"/>
              </w:rPr>
              <w:t>英语自我表达能力、英语听读能力和英语应用能力展示</w:t>
            </w:r>
          </w:p>
        </w:tc>
        <w:tc>
          <w:tcPr>
            <w:tcW w:w="3198" w:type="dxa"/>
            <w:vAlign w:val="center"/>
          </w:tcPr>
          <w:p>
            <w:r>
              <w:t>1</w:t>
            </w:r>
            <w:r>
              <w:rPr>
                <w:rFonts w:hint="eastAsia"/>
              </w:rPr>
              <w:t>.英语的发音、节奏等表达能力。</w:t>
            </w:r>
          </w:p>
          <w:p>
            <w:r>
              <w:rPr>
                <w:rFonts w:hint="eastAsia"/>
              </w:rPr>
              <w:t xml:space="preserve">2.英语的听力、辨别能力。 </w:t>
            </w:r>
          </w:p>
          <w:p>
            <w:r>
              <w:rPr>
                <w:rFonts w:hint="eastAsia"/>
              </w:rPr>
              <w:t>3.</w:t>
            </w:r>
            <w:r>
              <w:rPr>
                <w:rFonts w:hint="eastAsia"/>
                <w:lang w:val="en-US" w:eastAsia="zh-Hans"/>
              </w:rPr>
              <w:t>英语</w:t>
            </w:r>
            <w:r>
              <w:rPr>
                <w:rFonts w:hint="eastAsia"/>
              </w:rPr>
              <w:t xml:space="preserve">词汇、短语的掌握程度。 </w:t>
            </w:r>
          </w:p>
          <w:p>
            <w:r>
              <w:rPr>
                <w:rFonts w:hint="eastAsia"/>
              </w:rPr>
              <w:t>4.英语表达的应变能力。</w:t>
            </w:r>
          </w:p>
        </w:tc>
      </w:tr>
    </w:tbl>
    <w:p>
      <w:pPr>
        <w:pStyle w:val="12"/>
        <w:spacing w:line="400" w:lineRule="exact"/>
        <w:ind w:firstLine="480"/>
        <w:jc w:val="left"/>
        <w:rPr>
          <w:rFonts w:ascii="仿宋" w:hAnsi="仿宋" w:eastAsia="仿宋" w:cs="Times New Roman"/>
          <w:color w:val="000000" w:themeColor="text1"/>
          <w:kern w:val="0"/>
          <w:sz w:val="24"/>
          <w:szCs w:val="24"/>
          <w14:textFill>
            <w14:solidFill>
              <w14:schemeClr w14:val="tx1"/>
            </w14:solidFill>
          </w14:textFill>
        </w:rPr>
      </w:pPr>
    </w:p>
    <w:p>
      <w:pPr>
        <w:spacing w:line="360" w:lineRule="auto"/>
        <w:ind w:left="567"/>
        <w:rPr>
          <w:b/>
          <w:sz w:val="28"/>
          <w:szCs w:val="28"/>
        </w:rPr>
      </w:pPr>
      <w:r>
        <w:rPr>
          <w:rFonts w:hint="eastAsia"/>
          <w:b/>
          <w:sz w:val="28"/>
          <w:szCs w:val="28"/>
        </w:rPr>
        <w:t>五、考核标准及分值</w:t>
      </w:r>
    </w:p>
    <w:tbl>
      <w:tblPr>
        <w:tblStyle w:val="9"/>
        <w:tblW w:w="850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1"/>
        <w:gridCol w:w="1559"/>
        <w:gridCol w:w="4536"/>
        <w:gridCol w:w="1134"/>
      </w:tblGrid>
      <w:tr>
        <w:trPr>
          <w:jc w:val="center"/>
        </w:trPr>
        <w:tc>
          <w:tcPr>
            <w:tcW w:w="1271" w:type="dxa"/>
            <w:vAlign w:val="center"/>
          </w:tcPr>
          <w:p>
            <w:pPr>
              <w:spacing w:line="400" w:lineRule="exact"/>
              <w:jc w:val="center"/>
              <w:rPr>
                <w:b/>
                <w:bCs/>
                <w:szCs w:val="21"/>
              </w:rPr>
            </w:pPr>
            <w:r>
              <w:rPr>
                <w:rFonts w:hint="eastAsia"/>
                <w:b/>
                <w:bCs/>
                <w:szCs w:val="21"/>
              </w:rPr>
              <w:t>考核要点</w:t>
            </w:r>
          </w:p>
        </w:tc>
        <w:tc>
          <w:tcPr>
            <w:tcW w:w="1559" w:type="dxa"/>
            <w:vAlign w:val="center"/>
          </w:tcPr>
          <w:p>
            <w:pPr>
              <w:spacing w:line="400" w:lineRule="exact"/>
              <w:jc w:val="center"/>
              <w:rPr>
                <w:b/>
                <w:bCs/>
                <w:szCs w:val="21"/>
              </w:rPr>
            </w:pPr>
            <w:r>
              <w:rPr>
                <w:rFonts w:hint="eastAsia"/>
                <w:b/>
                <w:bCs/>
                <w:szCs w:val="21"/>
              </w:rPr>
              <w:t>考核项目</w:t>
            </w:r>
          </w:p>
        </w:tc>
        <w:tc>
          <w:tcPr>
            <w:tcW w:w="4536" w:type="dxa"/>
            <w:vAlign w:val="center"/>
          </w:tcPr>
          <w:p>
            <w:pPr>
              <w:spacing w:line="400" w:lineRule="exact"/>
              <w:jc w:val="center"/>
              <w:rPr>
                <w:b/>
                <w:bCs/>
                <w:szCs w:val="21"/>
              </w:rPr>
            </w:pPr>
            <w:r>
              <w:rPr>
                <w:rFonts w:hint="eastAsia"/>
                <w:b/>
                <w:bCs/>
                <w:szCs w:val="21"/>
              </w:rPr>
              <w:t>评分</w:t>
            </w:r>
            <w:r>
              <w:rPr>
                <w:b/>
                <w:bCs/>
                <w:szCs w:val="21"/>
              </w:rPr>
              <w:t>标准</w:t>
            </w:r>
          </w:p>
        </w:tc>
        <w:tc>
          <w:tcPr>
            <w:tcW w:w="1134" w:type="dxa"/>
            <w:vAlign w:val="center"/>
          </w:tcPr>
          <w:p>
            <w:pPr>
              <w:spacing w:line="400" w:lineRule="exact"/>
              <w:jc w:val="center"/>
              <w:rPr>
                <w:b/>
                <w:bCs/>
                <w:szCs w:val="21"/>
              </w:rPr>
            </w:pPr>
            <w:r>
              <w:rPr>
                <w:rFonts w:hint="eastAsia"/>
                <w:b/>
                <w:bCs/>
                <w:szCs w:val="21"/>
              </w:rPr>
              <w:t>分值占比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71" w:type="dxa"/>
            <w:vMerge w:val="restart"/>
            <w:vAlign w:val="center"/>
          </w:tcPr>
          <w:p>
            <w:pPr>
              <w:jc w:val="center"/>
            </w:pPr>
            <w:r>
              <w:rPr>
                <w:rFonts w:hint="eastAsia"/>
              </w:rPr>
              <w:t>专业基</w:t>
            </w:r>
          </w:p>
          <w:p>
            <w:pPr>
              <w:jc w:val="center"/>
            </w:pPr>
            <w:r>
              <w:rPr>
                <w:rFonts w:hint="eastAsia"/>
              </w:rPr>
              <w:t>本素质</w:t>
            </w:r>
          </w:p>
        </w:tc>
        <w:tc>
          <w:tcPr>
            <w:tcW w:w="1559" w:type="dxa"/>
            <w:vAlign w:val="center"/>
          </w:tcPr>
          <w:p>
            <w:pPr>
              <w:jc w:val="center"/>
            </w:pPr>
            <w:r>
              <w:rPr>
                <w:rFonts w:hint="eastAsia"/>
              </w:rPr>
              <w:t>仪表仪容</w:t>
            </w:r>
          </w:p>
        </w:tc>
        <w:tc>
          <w:tcPr>
            <w:tcW w:w="4536" w:type="dxa"/>
            <w:vAlign w:val="center"/>
          </w:tcPr>
          <w:p>
            <w:r>
              <w:rPr>
                <w:rFonts w:hint="eastAsia"/>
              </w:rPr>
              <w:t>主要考查学生的仪表举止、行为举止等。</w:t>
            </w:r>
          </w:p>
        </w:tc>
        <w:tc>
          <w:tcPr>
            <w:tcW w:w="1134" w:type="dxa"/>
            <w:vAlign w:val="center"/>
          </w:tcPr>
          <w:p>
            <w:pPr>
              <w:jc w:val="center"/>
            </w:pPr>
            <w:r>
              <w:rPr>
                <w:rFonts w:hint="eastAsia"/>
              </w:rPr>
              <w:t>10</w:t>
            </w:r>
            <w:r>
              <w:t>%</w:t>
            </w:r>
          </w:p>
        </w:tc>
      </w:tr>
      <w:tr>
        <w:trPr>
          <w:jc w:val="center"/>
        </w:trPr>
        <w:tc>
          <w:tcPr>
            <w:tcW w:w="1271" w:type="dxa"/>
            <w:vMerge w:val="continue"/>
            <w:vAlign w:val="center"/>
          </w:tcPr>
          <w:p>
            <w:pPr>
              <w:jc w:val="center"/>
            </w:pPr>
          </w:p>
        </w:tc>
        <w:tc>
          <w:tcPr>
            <w:tcW w:w="1559" w:type="dxa"/>
            <w:vAlign w:val="center"/>
          </w:tcPr>
          <w:p>
            <w:pPr>
              <w:jc w:val="center"/>
            </w:pPr>
            <w:r>
              <w:rPr>
                <w:rFonts w:hint="eastAsia"/>
              </w:rPr>
              <w:t>逻辑思维</w:t>
            </w:r>
          </w:p>
        </w:tc>
        <w:tc>
          <w:tcPr>
            <w:tcW w:w="4536" w:type="dxa"/>
            <w:vAlign w:val="center"/>
          </w:tcPr>
          <w:p>
            <w:r>
              <w:rPr>
                <w:rFonts w:hint="eastAsia"/>
              </w:rPr>
              <w:t>主要考查学生的思维逻辑、心理素养、语言表达。</w:t>
            </w:r>
          </w:p>
        </w:tc>
        <w:tc>
          <w:tcPr>
            <w:tcW w:w="1134" w:type="dxa"/>
            <w:vAlign w:val="center"/>
          </w:tcPr>
          <w:p>
            <w:pPr>
              <w:jc w:val="center"/>
            </w:pPr>
            <w:r>
              <w:rPr>
                <w:rFonts w:hint="eastAsia"/>
              </w:rPr>
              <w:t>10</w:t>
            </w:r>
            <w: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3" w:hRule="atLeast"/>
          <w:jc w:val="center"/>
        </w:trPr>
        <w:tc>
          <w:tcPr>
            <w:tcW w:w="1271" w:type="dxa"/>
            <w:vMerge w:val="continue"/>
            <w:vAlign w:val="center"/>
          </w:tcPr>
          <w:p>
            <w:pPr>
              <w:jc w:val="center"/>
            </w:pPr>
          </w:p>
        </w:tc>
        <w:tc>
          <w:tcPr>
            <w:tcW w:w="1559" w:type="dxa"/>
            <w:vAlign w:val="center"/>
          </w:tcPr>
          <w:p>
            <w:pPr>
              <w:jc w:val="center"/>
            </w:pPr>
            <w:r>
              <w:rPr>
                <w:rFonts w:hint="eastAsia"/>
              </w:rPr>
              <w:t>专业认知</w:t>
            </w:r>
          </w:p>
        </w:tc>
        <w:tc>
          <w:tcPr>
            <w:tcW w:w="4536" w:type="dxa"/>
            <w:vAlign w:val="center"/>
          </w:tcPr>
          <w:p>
            <w:r>
              <w:rPr>
                <w:rFonts w:hint="eastAsia"/>
              </w:rPr>
              <w:t>主要考查学生的专业认知、职业能力倾向、临场应变能力</w:t>
            </w:r>
            <w:r>
              <w:t>和专业潜力</w:t>
            </w:r>
            <w:r>
              <w:rPr>
                <w:rFonts w:hint="eastAsia"/>
              </w:rPr>
              <w:t>。</w:t>
            </w:r>
          </w:p>
        </w:tc>
        <w:tc>
          <w:tcPr>
            <w:tcW w:w="1134" w:type="dxa"/>
            <w:vAlign w:val="center"/>
          </w:tcPr>
          <w:p>
            <w:pPr>
              <w:jc w:val="center"/>
            </w:pPr>
            <w:r>
              <w:rPr>
                <w:rFonts w:hint="eastAsia"/>
              </w:rPr>
              <w:t>10</w:t>
            </w:r>
            <w:r>
              <w:t>%</w:t>
            </w:r>
          </w:p>
        </w:tc>
      </w:tr>
      <w:tr>
        <w:trPr>
          <w:trHeight w:val="660" w:hRule="atLeast"/>
          <w:jc w:val="center"/>
        </w:trPr>
        <w:tc>
          <w:tcPr>
            <w:tcW w:w="1271" w:type="dxa"/>
            <w:vMerge w:val="restart"/>
            <w:vAlign w:val="center"/>
          </w:tcPr>
          <w:p>
            <w:pPr>
              <w:jc w:val="center"/>
            </w:pPr>
            <w:r>
              <w:rPr>
                <w:rFonts w:hint="eastAsia"/>
              </w:rPr>
              <w:t>职业</w:t>
            </w:r>
            <w:r>
              <w:t>能</w:t>
            </w:r>
          </w:p>
          <w:p>
            <w:pPr>
              <w:jc w:val="center"/>
            </w:pPr>
            <w:r>
              <w:t>力测试</w:t>
            </w:r>
          </w:p>
        </w:tc>
        <w:tc>
          <w:tcPr>
            <w:tcW w:w="1559" w:type="dxa"/>
            <w:vAlign w:val="center"/>
          </w:tcPr>
          <w:p>
            <w:pPr>
              <w:jc w:val="center"/>
            </w:pPr>
            <w:r>
              <w:rPr>
                <w:rFonts w:hint="eastAsia"/>
              </w:rPr>
              <w:t>英语自我表达能力</w:t>
            </w:r>
          </w:p>
        </w:tc>
        <w:tc>
          <w:tcPr>
            <w:tcW w:w="4536" w:type="dxa"/>
            <w:vMerge w:val="restart"/>
            <w:vAlign w:val="center"/>
          </w:tcPr>
          <w:p>
            <w:r>
              <w:rPr>
                <w:rFonts w:hint="eastAsia"/>
              </w:rPr>
              <w:t>1、考察考生发音是否标准清晰、表达是否流利。</w:t>
            </w:r>
          </w:p>
          <w:p>
            <w:r>
              <w:rPr>
                <w:rFonts w:hint="eastAsia"/>
              </w:rPr>
              <w:t>2、在规定时间范围内完成英文原文的朗读，语句是否连贯。</w:t>
            </w:r>
          </w:p>
          <w:p>
            <w:r>
              <w:t>3</w:t>
            </w:r>
            <w:r>
              <w:rPr>
                <w:rFonts w:hint="eastAsia"/>
              </w:rPr>
              <w:t>、考察考生对词汇的掌握程度，语法的正确运用，听力的程度。</w:t>
            </w:r>
          </w:p>
        </w:tc>
        <w:tc>
          <w:tcPr>
            <w:tcW w:w="1134" w:type="dxa"/>
            <w:vMerge w:val="restart"/>
            <w:vAlign w:val="center"/>
          </w:tcPr>
          <w:p>
            <w:pPr>
              <w:jc w:val="center"/>
            </w:pPr>
            <w: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42" w:hRule="atLeast"/>
          <w:jc w:val="center"/>
        </w:trPr>
        <w:tc>
          <w:tcPr>
            <w:tcW w:w="1271" w:type="dxa"/>
            <w:vMerge w:val="continue"/>
            <w:vAlign w:val="center"/>
          </w:tcPr>
          <w:p>
            <w:pPr>
              <w:jc w:val="center"/>
            </w:pPr>
          </w:p>
        </w:tc>
        <w:tc>
          <w:tcPr>
            <w:tcW w:w="1559" w:type="dxa"/>
            <w:vAlign w:val="center"/>
          </w:tcPr>
          <w:p>
            <w:pPr>
              <w:jc w:val="center"/>
            </w:pPr>
            <w:r>
              <w:rPr>
                <w:rFonts w:hint="eastAsia"/>
              </w:rPr>
              <w:t>英语听读能力</w:t>
            </w:r>
          </w:p>
        </w:tc>
        <w:tc>
          <w:tcPr>
            <w:tcW w:w="4536" w:type="dxa"/>
            <w:vMerge w:val="continue"/>
            <w:vAlign w:val="center"/>
          </w:tcPr>
          <w:p/>
        </w:tc>
        <w:tc>
          <w:tcPr>
            <w:tcW w:w="1134" w:type="dxa"/>
            <w:vMerge w:val="continue"/>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23" w:hRule="atLeast"/>
          <w:jc w:val="center"/>
        </w:trPr>
        <w:tc>
          <w:tcPr>
            <w:tcW w:w="1271" w:type="dxa"/>
            <w:vMerge w:val="continue"/>
            <w:vAlign w:val="center"/>
          </w:tcPr>
          <w:p>
            <w:pPr>
              <w:jc w:val="center"/>
            </w:pPr>
          </w:p>
        </w:tc>
        <w:tc>
          <w:tcPr>
            <w:tcW w:w="1559" w:type="dxa"/>
            <w:vAlign w:val="center"/>
          </w:tcPr>
          <w:p>
            <w:pPr>
              <w:jc w:val="center"/>
            </w:pPr>
            <w:r>
              <w:rPr>
                <w:rFonts w:hint="eastAsia"/>
              </w:rPr>
              <w:t>英语应用能力</w:t>
            </w:r>
          </w:p>
        </w:tc>
        <w:tc>
          <w:tcPr>
            <w:tcW w:w="4536" w:type="dxa"/>
            <w:vMerge w:val="continue"/>
            <w:vAlign w:val="center"/>
          </w:tcPr>
          <w:p/>
        </w:tc>
        <w:tc>
          <w:tcPr>
            <w:tcW w:w="1134" w:type="dxa"/>
            <w:vMerge w:val="continue"/>
            <w:vAlign w:val="center"/>
          </w:tcPr>
          <w:p/>
        </w:tc>
      </w:tr>
    </w:tbl>
    <w:p>
      <w:pPr>
        <w:pStyle w:val="12"/>
        <w:spacing w:line="400" w:lineRule="exact"/>
        <w:jc w:val="left"/>
        <w:rPr>
          <w:rFonts w:ascii="仿宋" w:hAnsi="仿宋" w:eastAsia="仿宋" w:cs="Times New Roman"/>
          <w:color w:val="000000" w:themeColor="text1"/>
          <w:kern w:val="0"/>
          <w:sz w:val="24"/>
          <w:szCs w:val="24"/>
          <w14:textFill>
            <w14:solidFill>
              <w14:schemeClr w14:val="tx1"/>
            </w14:solidFill>
          </w14:textFill>
        </w:rPr>
      </w:pPr>
    </w:p>
    <w:p>
      <w:pPr>
        <w:spacing w:line="360" w:lineRule="auto"/>
        <w:ind w:left="567"/>
        <w:rPr>
          <w:b/>
          <w:sz w:val="28"/>
          <w:szCs w:val="28"/>
        </w:rPr>
      </w:pPr>
      <w:r>
        <w:rPr>
          <w:rFonts w:hint="eastAsia"/>
          <w:b/>
          <w:sz w:val="28"/>
          <w:szCs w:val="28"/>
        </w:rPr>
        <w:t>六、其他事项</w:t>
      </w:r>
    </w:p>
    <w:p>
      <w:pPr>
        <w:spacing w:line="400" w:lineRule="exact"/>
        <w:ind w:left="456"/>
        <w:rPr>
          <w:sz w:val="28"/>
          <w:szCs w:val="28"/>
        </w:rPr>
      </w:pPr>
      <w:r>
        <w:rPr>
          <w:sz w:val="28"/>
          <w:szCs w:val="28"/>
        </w:rPr>
        <w:t>测试所需</w:t>
      </w:r>
      <w:r>
        <w:rPr>
          <w:rFonts w:hint="eastAsia"/>
          <w:sz w:val="28"/>
          <w:szCs w:val="28"/>
        </w:rPr>
        <w:t>设备由考点负责准备。</w:t>
      </w:r>
    </w:p>
    <w:p>
      <w:pPr>
        <w:pStyle w:val="12"/>
        <w:spacing w:line="360" w:lineRule="auto"/>
        <w:ind w:firstLine="480"/>
        <w:jc w:val="left"/>
        <w:rPr>
          <w:rFonts w:ascii="仿宋" w:hAnsi="仿宋" w:eastAsia="仿宋" w:cs="Times New Roman"/>
          <w:color w:val="000000" w:themeColor="text1"/>
          <w:kern w:val="0"/>
          <w:sz w:val="24"/>
          <w:szCs w:val="24"/>
          <w14:textFill>
            <w14:solidFill>
              <w14:schemeClr w14:val="tx1"/>
            </w14:solidFill>
          </w14:textFill>
        </w:rPr>
      </w:pPr>
    </w:p>
    <w:p>
      <w:pPr>
        <w:spacing w:line="400" w:lineRule="exact"/>
        <w:ind w:left="456"/>
        <w:jc w:val="right"/>
        <w:rPr>
          <w:rFonts w:asciiTheme="minorEastAsia" w:hAnsiTheme="minorEastAsia"/>
          <w:sz w:val="28"/>
          <w:szCs w:val="28"/>
        </w:rPr>
      </w:pPr>
      <w:r>
        <w:rPr>
          <w:rFonts w:hint="eastAsia" w:asciiTheme="minorEastAsia" w:hAnsiTheme="minorEastAsia"/>
          <w:sz w:val="28"/>
          <w:szCs w:val="28"/>
        </w:rPr>
        <w:t>四川城市职业学院</w:t>
      </w:r>
    </w:p>
    <w:p>
      <w:pPr>
        <w:spacing w:line="400" w:lineRule="exact"/>
        <w:ind w:left="456"/>
        <w:jc w:val="right"/>
        <w:rPr>
          <w:rFonts w:asciiTheme="minorEastAsia" w:hAnsiTheme="minorEastAsia"/>
          <w:sz w:val="28"/>
          <w:szCs w:val="28"/>
        </w:rPr>
      </w:pPr>
      <w:r>
        <w:rPr>
          <w:rFonts w:hint="eastAsia" w:asciiTheme="minorEastAsia" w:hAnsiTheme="minorEastAsia"/>
          <w:sz w:val="28"/>
          <w:szCs w:val="28"/>
        </w:rPr>
        <w:t>20</w:t>
      </w:r>
      <w:r>
        <w:rPr>
          <w:rFonts w:asciiTheme="minorEastAsia" w:hAnsiTheme="minorEastAsia"/>
          <w:sz w:val="28"/>
          <w:szCs w:val="28"/>
        </w:rPr>
        <w:t>2</w:t>
      </w:r>
      <w:r>
        <w:rPr>
          <w:rFonts w:hint="default" w:asciiTheme="minorEastAsia" w:hAnsiTheme="minorEastAsia"/>
          <w:sz w:val="28"/>
          <w:szCs w:val="28"/>
        </w:rPr>
        <w:t>3</w:t>
      </w:r>
      <w:r>
        <w:rPr>
          <w:rFonts w:hint="eastAsia" w:asciiTheme="minorEastAsia" w:hAnsiTheme="minorEastAsia"/>
          <w:sz w:val="28"/>
          <w:szCs w:val="28"/>
        </w:rPr>
        <w:t>年</w:t>
      </w:r>
      <w:r>
        <w:rPr>
          <w:rFonts w:hint="default" w:asciiTheme="minorEastAsia" w:hAnsiTheme="minorEastAsia"/>
          <w:sz w:val="28"/>
          <w:szCs w:val="28"/>
        </w:rPr>
        <w:t>2</w:t>
      </w:r>
      <w:r>
        <w:rPr>
          <w:rFonts w:hint="eastAsia" w:asciiTheme="minorEastAsia" w:hAnsiTheme="minorEastAsia"/>
          <w:sz w:val="28"/>
          <w:szCs w:val="28"/>
        </w:rPr>
        <w:t>月</w:t>
      </w:r>
    </w:p>
    <w:p>
      <w:pPr>
        <w:widowControl/>
        <w:jc w:val="left"/>
        <w:rPr>
          <w:rFonts w:ascii="仿宋" w:hAnsi="仿宋" w:eastAsia="仿宋" w:cs="Times New Roman"/>
          <w:color w:val="000000" w:themeColor="text1"/>
          <w:kern w:val="0"/>
          <w:sz w:val="24"/>
          <w:u w:color="000000"/>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Unicode MS">
    <w:panose1 w:val="020B0604020202020204"/>
    <w:charset w:val="86"/>
    <w:family w:val="swiss"/>
    <w:pitch w:val="default"/>
    <w:sig w:usb0="00000000" w:usb1="00000000" w:usb2="00000000" w:usb3="00000000" w:csb0="003E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559BC"/>
    <w:rsid w:val="00042B96"/>
    <w:rsid w:val="00060FF2"/>
    <w:rsid w:val="00163381"/>
    <w:rsid w:val="00320CD1"/>
    <w:rsid w:val="00370112"/>
    <w:rsid w:val="00370E0E"/>
    <w:rsid w:val="003A5348"/>
    <w:rsid w:val="003B417C"/>
    <w:rsid w:val="003D7803"/>
    <w:rsid w:val="004919A6"/>
    <w:rsid w:val="004A2369"/>
    <w:rsid w:val="004D4CEF"/>
    <w:rsid w:val="004F71FB"/>
    <w:rsid w:val="00543F66"/>
    <w:rsid w:val="005A2C2D"/>
    <w:rsid w:val="005A5510"/>
    <w:rsid w:val="005A6EF4"/>
    <w:rsid w:val="005E3B30"/>
    <w:rsid w:val="00605E03"/>
    <w:rsid w:val="0061464B"/>
    <w:rsid w:val="00647E4C"/>
    <w:rsid w:val="006B7C42"/>
    <w:rsid w:val="007143E3"/>
    <w:rsid w:val="00726311"/>
    <w:rsid w:val="00741B7B"/>
    <w:rsid w:val="007A5D1D"/>
    <w:rsid w:val="007D3585"/>
    <w:rsid w:val="0080610A"/>
    <w:rsid w:val="008113F1"/>
    <w:rsid w:val="00841876"/>
    <w:rsid w:val="00847852"/>
    <w:rsid w:val="00945162"/>
    <w:rsid w:val="00960524"/>
    <w:rsid w:val="009A1E0B"/>
    <w:rsid w:val="009A4362"/>
    <w:rsid w:val="00A5101D"/>
    <w:rsid w:val="00A91DA0"/>
    <w:rsid w:val="00B051B6"/>
    <w:rsid w:val="00B22F77"/>
    <w:rsid w:val="00C25C8C"/>
    <w:rsid w:val="00C608DF"/>
    <w:rsid w:val="00CB7A8D"/>
    <w:rsid w:val="00D12774"/>
    <w:rsid w:val="00D46DC1"/>
    <w:rsid w:val="00D72B83"/>
    <w:rsid w:val="00DA37D8"/>
    <w:rsid w:val="00DA6F2C"/>
    <w:rsid w:val="00DB6F66"/>
    <w:rsid w:val="00DF0420"/>
    <w:rsid w:val="00E6054F"/>
    <w:rsid w:val="00E62B90"/>
    <w:rsid w:val="00E74718"/>
    <w:rsid w:val="00EF488D"/>
    <w:rsid w:val="00F011EB"/>
    <w:rsid w:val="05835E43"/>
    <w:rsid w:val="182C6FFD"/>
    <w:rsid w:val="194B28D8"/>
    <w:rsid w:val="25486D54"/>
    <w:rsid w:val="268F6041"/>
    <w:rsid w:val="285D0CD5"/>
    <w:rsid w:val="2A6243EB"/>
    <w:rsid w:val="2C9C4B4D"/>
    <w:rsid w:val="2FE64906"/>
    <w:rsid w:val="325559BC"/>
    <w:rsid w:val="377717D3"/>
    <w:rsid w:val="3D982DEF"/>
    <w:rsid w:val="40A021D7"/>
    <w:rsid w:val="43485244"/>
    <w:rsid w:val="47341079"/>
    <w:rsid w:val="4FE8426C"/>
    <w:rsid w:val="508D07EB"/>
    <w:rsid w:val="55157EF8"/>
    <w:rsid w:val="66E7CC71"/>
    <w:rsid w:val="69F643B9"/>
    <w:rsid w:val="73EC119B"/>
    <w:rsid w:val="7E687951"/>
    <w:rsid w:val="7E91AC6A"/>
    <w:rsid w:val="8F7F3764"/>
    <w:rsid w:val="9EFF96BA"/>
    <w:rsid w:val="CEFF698C"/>
    <w:rsid w:val="E7DF295A"/>
    <w:rsid w:val="F6EF1F9A"/>
    <w:rsid w:val="FDF7EF6F"/>
    <w:rsid w:val="FEFE8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qFormat/>
    <w:uiPriority w:val="0"/>
    <w:rPr>
      <w:rFonts w:ascii="宋体" w:eastAsia="宋体"/>
      <w:sz w:val="24"/>
    </w:r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rPr>
      <w:szCs w:val="20"/>
    </w:rPr>
  </w:style>
  <w:style w:type="paragraph" w:styleId="5">
    <w:name w:val="Balloon Text"/>
    <w:basedOn w:val="1"/>
    <w:link w:val="13"/>
    <w:qFormat/>
    <w:uiPriority w:val="0"/>
    <w:rPr>
      <w:rFonts w:ascii="宋体" w:eastAsia="宋体"/>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annotation reference"/>
    <w:basedOn w:val="10"/>
    <w:qFormat/>
    <w:uiPriority w:val="0"/>
    <w:rPr>
      <w:sz w:val="21"/>
      <w:szCs w:val="21"/>
    </w:rPr>
  </w:style>
  <w:style w:type="paragraph" w:customStyle="1" w:styleId="12">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character" w:customStyle="1" w:styleId="13">
    <w:name w:val="批注框文本 字符"/>
    <w:basedOn w:val="10"/>
    <w:link w:val="5"/>
    <w:qFormat/>
    <w:uiPriority w:val="0"/>
    <w:rPr>
      <w:rFonts w:ascii="宋体" w:eastAsia="宋体"/>
      <w:kern w:val="2"/>
      <w:sz w:val="18"/>
      <w:szCs w:val="18"/>
    </w:rPr>
  </w:style>
  <w:style w:type="character" w:customStyle="1" w:styleId="14">
    <w:name w:val="文档结构图 字符"/>
    <w:basedOn w:val="10"/>
    <w:link w:val="2"/>
    <w:qFormat/>
    <w:uiPriority w:val="0"/>
    <w:rPr>
      <w:rFonts w:ascii="宋体" w:eastAsia="宋体"/>
      <w:kern w:val="2"/>
      <w:sz w:val="24"/>
      <w:szCs w:val="24"/>
    </w:rPr>
  </w:style>
  <w:style w:type="character" w:customStyle="1" w:styleId="15">
    <w:name w:val="页眉 字符"/>
    <w:basedOn w:val="10"/>
    <w:link w:val="7"/>
    <w:qFormat/>
    <w:uiPriority w:val="0"/>
    <w:rPr>
      <w:kern w:val="2"/>
      <w:sz w:val="18"/>
      <w:szCs w:val="18"/>
    </w:rPr>
  </w:style>
  <w:style w:type="character" w:customStyle="1" w:styleId="16">
    <w:name w:val="页脚 字符"/>
    <w:basedOn w:val="10"/>
    <w:link w:val="6"/>
    <w:qFormat/>
    <w:uiPriority w:val="0"/>
    <w:rPr>
      <w:kern w:val="2"/>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Words>
  <Characters>747</Characters>
  <Lines>6</Lines>
  <Paragraphs>1</Paragraphs>
  <TotalTime>4</TotalTime>
  <ScaleCrop>false</ScaleCrop>
  <LinksUpToDate>false</LinksUpToDate>
  <CharactersWithSpaces>877</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2018-12-14T14:07:00Z</dcterms:created>
  <dc:creator>Administrator</dc:creator>
  <cp:lastModifiedBy>Penny Yu</cp:lastModifiedBy>
  <dcterms:modified xsi:type="dcterms:W3CDTF">2023-02-19T17:55:47Z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BD5244B802347952FCF1F163BEF0D0DF</vt:lpwstr>
  </property>
</Properties>
</file>