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年单独招生考试</w:t>
      </w:r>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eastAsia="zh-CN" w:bidi="ar-SA"/>
        </w:rPr>
        <w:t>现代</w:t>
      </w:r>
      <w:r>
        <w:rPr>
          <w:rFonts w:hint="eastAsia" w:eastAsiaTheme="minorEastAsia"/>
          <w:b/>
          <w:color w:val="000000"/>
          <w:kern w:val="2"/>
          <w:sz w:val="36"/>
          <w:szCs w:val="36"/>
          <w:lang w:val="en-US" w:bidi="ar-SA"/>
        </w:rPr>
        <w:t>物业管理</w:t>
      </w:r>
      <w:r>
        <w:rPr>
          <w:rFonts w:eastAsiaTheme="minorEastAsia"/>
          <w:b/>
          <w:color w:val="000000"/>
          <w:kern w:val="2"/>
          <w:sz w:val="36"/>
          <w:szCs w:val="36"/>
          <w:lang w:val="en-US" w:bidi="ar-SA"/>
        </w:rPr>
        <w:t>专业</w:t>
      </w:r>
      <w:r>
        <w:rPr>
          <w:rFonts w:hint="eastAsia" w:eastAsiaTheme="minorEastAsia"/>
          <w:b/>
          <w:color w:val="000000"/>
          <w:kern w:val="2"/>
          <w:sz w:val="36"/>
          <w:szCs w:val="36"/>
          <w:lang w:val="en-US" w:eastAsia="zh-CN" w:bidi="ar-SA"/>
        </w:rPr>
        <w:t>技能</w:t>
      </w:r>
      <w:r>
        <w:rPr>
          <w:rFonts w:eastAsiaTheme="minorEastAsia"/>
          <w:b/>
          <w:color w:val="000000"/>
          <w:kern w:val="2"/>
          <w:sz w:val="36"/>
          <w:szCs w:val="36"/>
          <w:lang w:val="en-US" w:bidi="ar-SA"/>
        </w:rPr>
        <w:t xml:space="preserve">测试指南 </w:t>
      </w:r>
    </w:p>
    <w:p>
      <w:pPr>
        <w:pStyle w:val="3"/>
        <w:spacing w:before="360" w:beforeLines="150" w:after="360" w:afterLines="150" w:line="240" w:lineRule="auto"/>
        <w:ind w:left="788"/>
      </w:pPr>
      <w:r>
        <w:t>一、考试性质</w:t>
      </w:r>
    </w:p>
    <w:p>
      <w:pPr>
        <w:pStyle w:val="4"/>
        <w:spacing w:before="171" w:line="240"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w:t>
      </w:r>
      <w:bookmarkStart w:id="0" w:name="_GoBack"/>
      <w:bookmarkEnd w:id="0"/>
      <w:r>
        <w:rPr>
          <w:rFonts w:asciiTheme="minorHAnsi" w:hAnsiTheme="minorHAnsi" w:eastAsiaTheme="minorEastAsia" w:cstheme="minorBidi"/>
          <w:kern w:val="2"/>
          <w:lang w:val="en-US" w:bidi="ar-SA"/>
        </w:rPr>
        <w:t>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eastAsia="zh-CN" w:bidi="ar-SA"/>
        </w:rPr>
        <w:t>现代</w:t>
      </w:r>
      <w:r>
        <w:rPr>
          <w:rFonts w:hint="eastAsia" w:asciiTheme="minorHAnsi" w:hAnsiTheme="minorHAnsi" w:eastAsiaTheme="minorEastAsia" w:cstheme="minorBidi"/>
          <w:kern w:val="2"/>
          <w:lang w:val="en-US" w:bidi="ar-SA"/>
        </w:rPr>
        <w:t>物业管理</w:t>
      </w:r>
      <w:r>
        <w:rPr>
          <w:rFonts w:asciiTheme="minorHAnsi" w:hAnsiTheme="minorHAnsi" w:eastAsiaTheme="minorEastAsia" w:cstheme="minorBidi"/>
          <w:kern w:val="2"/>
          <w:lang w:val="en-US" w:bidi="ar-SA"/>
        </w:rPr>
        <w:t>专业人才的选拔。</w:t>
      </w:r>
    </w:p>
    <w:p>
      <w:pPr>
        <w:pStyle w:val="3"/>
        <w:spacing w:before="360" w:beforeLines="150" w:after="360" w:afterLines="150" w:line="240" w:lineRule="auto"/>
        <w:ind w:left="788"/>
      </w:pPr>
      <w:r>
        <w:t>二、制定依据</w:t>
      </w:r>
    </w:p>
    <w:p>
      <w:pPr>
        <w:pStyle w:val="4"/>
        <w:spacing w:before="171" w:line="240" w:lineRule="auto"/>
        <w:ind w:left="220" w:right="253" w:firstLine="496"/>
        <w:jc w:val="both"/>
        <w:rPr>
          <w:rFonts w:asciiTheme="minorHAnsi" w:hAnsiTheme="minorHAnsi" w:eastAsiaTheme="minorEastAsia" w:cstheme="minorBidi"/>
          <w:bCs/>
          <w:kern w:val="2"/>
          <w:u w:color="000000"/>
          <w:lang w:val="en-US" w:bidi="ar-SA"/>
        </w:rPr>
      </w:pPr>
      <w:r>
        <w:rPr>
          <w:spacing w:val="-6"/>
        </w:rPr>
        <w:t>以教育部中等职业学校</w:t>
      </w:r>
      <w:r>
        <w:rPr>
          <w:rFonts w:hint="eastAsia"/>
          <w:spacing w:val="-6"/>
          <w:lang w:val="en-US"/>
        </w:rPr>
        <w:t>物业管理</w:t>
      </w:r>
      <w:r>
        <w:rPr>
          <w:spacing w:val="-6"/>
        </w:rPr>
        <w:t>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360" w:beforeLines="150" w:after="360" w:afterLines="150" w:line="240" w:lineRule="auto"/>
        <w:ind w:left="788"/>
        <w:rPr>
          <w:lang w:val="en-US"/>
        </w:rPr>
      </w:pPr>
      <w:r>
        <w:t>三、考核方法</w:t>
      </w:r>
    </w:p>
    <w:p>
      <w:pPr>
        <w:pStyle w:val="4"/>
        <w:spacing w:before="171" w:line="240" w:lineRule="auto"/>
        <w:ind w:left="220" w:right="253" w:firstLine="496"/>
        <w:jc w:val="both"/>
      </w:pPr>
      <w:r>
        <w:rPr>
          <w:spacing w:val="-6"/>
        </w:rPr>
        <w:t>采用常规面试与专业技能测试相结合的形式，考官根据考生面试表现独立评分。</w:t>
      </w:r>
    </w:p>
    <w:p>
      <w:pPr>
        <w:pStyle w:val="3"/>
        <w:spacing w:before="360" w:beforeLines="150" w:after="360" w:afterLines="150" w:line="240" w:lineRule="auto"/>
        <w:ind w:left="788"/>
      </w:pPr>
      <w:r>
        <w:t>四、考核要点及形式</w:t>
      </w:r>
    </w:p>
    <w:p>
      <w:pPr>
        <w:pStyle w:val="4"/>
        <w:spacing w:before="4"/>
        <w:rPr>
          <w:b/>
          <w:sz w:val="10"/>
        </w:rPr>
      </w:pPr>
    </w:p>
    <w:tbl>
      <w:tblPr>
        <w:tblStyle w:val="7"/>
        <w:tblW w:w="8982"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974"/>
        <w:gridCol w:w="3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8" w:type="dxa"/>
            <w:gridSpan w:val="2"/>
          </w:tcPr>
          <w:p>
            <w:pPr>
              <w:pStyle w:val="12"/>
              <w:spacing w:before="109"/>
              <w:ind w:left="851"/>
              <w:rPr>
                <w:b/>
                <w:sz w:val="21"/>
              </w:rPr>
            </w:pPr>
            <w:r>
              <w:rPr>
                <w:b/>
                <w:sz w:val="21"/>
              </w:rPr>
              <w:t>考核要点</w:t>
            </w:r>
          </w:p>
        </w:tc>
        <w:tc>
          <w:tcPr>
            <w:tcW w:w="2974" w:type="dxa"/>
          </w:tcPr>
          <w:p>
            <w:pPr>
              <w:pStyle w:val="12"/>
              <w:spacing w:before="109"/>
              <w:ind w:left="854"/>
              <w:rPr>
                <w:b/>
                <w:sz w:val="21"/>
              </w:rPr>
            </w:pPr>
            <w:r>
              <w:rPr>
                <w:b/>
                <w:sz w:val="21"/>
              </w:rPr>
              <w:t>考核形式</w:t>
            </w:r>
          </w:p>
        </w:tc>
        <w:tc>
          <w:tcPr>
            <w:tcW w:w="3740"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992" w:type="dxa"/>
            <w:vMerge w:val="restart"/>
            <w:vAlign w:val="center"/>
          </w:tcPr>
          <w:p>
            <w:pPr>
              <w:pStyle w:val="12"/>
              <w:spacing w:before="134" w:line="278" w:lineRule="auto"/>
              <w:ind w:left="107" w:right="235"/>
              <w:jc w:val="center"/>
              <w:rPr>
                <w:sz w:val="21"/>
              </w:rPr>
            </w:pPr>
            <w:r>
              <w:rPr>
                <w:sz w:val="21"/>
              </w:rPr>
              <w:t>专业基本素质</w:t>
            </w:r>
          </w:p>
        </w:tc>
        <w:tc>
          <w:tcPr>
            <w:tcW w:w="1276" w:type="dxa"/>
            <w:vAlign w:val="center"/>
          </w:tcPr>
          <w:p>
            <w:pPr>
              <w:pStyle w:val="12"/>
              <w:ind w:left="339" w:right="326"/>
              <w:jc w:val="center"/>
              <w:rPr>
                <w:sz w:val="21"/>
              </w:rPr>
            </w:pPr>
            <w:r>
              <w:rPr>
                <w:sz w:val="21"/>
              </w:rPr>
              <w:t>基础素养</w:t>
            </w:r>
          </w:p>
        </w:tc>
        <w:tc>
          <w:tcPr>
            <w:tcW w:w="2974" w:type="dxa"/>
            <w:vMerge w:val="restart"/>
            <w:vAlign w:val="center"/>
          </w:tcPr>
          <w:p>
            <w:pPr>
              <w:pStyle w:val="12"/>
              <w:spacing w:before="22" w:line="278" w:lineRule="auto"/>
              <w:ind w:left="107" w:right="93"/>
              <w:jc w:val="both"/>
              <w:rPr>
                <w:sz w:val="21"/>
              </w:rPr>
            </w:pPr>
            <w:r>
              <w:rPr>
                <w:rFonts w:hint="eastAsia"/>
                <w:spacing w:val="-2"/>
                <w:sz w:val="21"/>
                <w:lang w:val="en-US"/>
              </w:rPr>
              <w:t>自我形象展示</w:t>
            </w:r>
            <w:r>
              <w:rPr>
                <w:spacing w:val="-2"/>
                <w:sz w:val="21"/>
              </w:rPr>
              <w:t>：主要介绍本人</w:t>
            </w:r>
            <w:r>
              <w:rPr>
                <w:spacing w:val="-23"/>
                <w:sz w:val="21"/>
              </w:rPr>
              <w:t>优缺点、特长及爱好等</w:t>
            </w:r>
            <w:r>
              <w:rPr>
                <w:sz w:val="21"/>
              </w:rPr>
              <w:t>（</w:t>
            </w:r>
            <w:r>
              <w:rPr>
                <w:rFonts w:hint="eastAsia"/>
                <w:sz w:val="21"/>
                <w:lang w:val="en-US"/>
              </w:rPr>
              <w:t>自述</w:t>
            </w:r>
            <w:r>
              <w:rPr>
                <w:spacing w:val="-2"/>
                <w:sz w:val="21"/>
              </w:rPr>
              <w:t>内容不能涉及个人基本</w:t>
            </w:r>
            <w:r>
              <w:rPr>
                <w:sz w:val="21"/>
              </w:rPr>
              <w:t>信息</w:t>
            </w:r>
            <w:r>
              <w:rPr>
                <w:spacing w:val="-95"/>
                <w:sz w:val="21"/>
              </w:rPr>
              <w:t>）</w:t>
            </w:r>
            <w:r>
              <w:rPr>
                <w:spacing w:val="-15"/>
                <w:sz w:val="21"/>
              </w:rPr>
              <w:t>；其次介绍本专业学</w:t>
            </w:r>
            <w:r>
              <w:rPr>
                <w:spacing w:val="-2"/>
                <w:sz w:val="21"/>
              </w:rPr>
              <w:t>习情况；以及简要谈谈自</w:t>
            </w:r>
            <w:r>
              <w:rPr>
                <w:sz w:val="21"/>
              </w:rPr>
              <w:t>己的</w:t>
            </w:r>
            <w:r>
              <w:rPr>
                <w:rFonts w:hint="eastAsia"/>
                <w:sz w:val="21"/>
                <w:lang w:val="en-US"/>
              </w:rPr>
              <w:t>对物业管理的认识</w:t>
            </w:r>
            <w:r>
              <w:rPr>
                <w:sz w:val="21"/>
              </w:rPr>
              <w:t>。</w:t>
            </w:r>
          </w:p>
        </w:tc>
        <w:tc>
          <w:tcPr>
            <w:tcW w:w="3740" w:type="dxa"/>
            <w:vAlign w:val="center"/>
          </w:tcPr>
          <w:p>
            <w:pPr>
              <w:pStyle w:val="12"/>
              <w:spacing w:before="164" w:line="278" w:lineRule="auto"/>
              <w:ind w:left="108" w:right="92"/>
              <w:jc w:val="both"/>
              <w:rPr>
                <w:sz w:val="21"/>
              </w:rPr>
            </w:pPr>
            <w:r>
              <w:rPr>
                <w:sz w:val="21"/>
              </w:rPr>
              <w:t>仪表举止、表达能力、基本素养和逻辑思维能力。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92" w:type="dxa"/>
            <w:vMerge w:val="continue"/>
            <w:tcBorders>
              <w:top w:val="nil"/>
            </w:tcBorders>
            <w:vAlign w:val="center"/>
          </w:tcPr>
          <w:p>
            <w:pPr>
              <w:jc w:val="center"/>
              <w:rPr>
                <w:sz w:val="2"/>
                <w:szCs w:val="2"/>
              </w:rPr>
            </w:pPr>
          </w:p>
        </w:tc>
        <w:tc>
          <w:tcPr>
            <w:tcW w:w="1276" w:type="dxa"/>
            <w:vAlign w:val="center"/>
          </w:tcPr>
          <w:p>
            <w:pPr>
              <w:pStyle w:val="12"/>
              <w:ind w:left="338" w:right="327"/>
              <w:jc w:val="center"/>
              <w:rPr>
                <w:sz w:val="21"/>
              </w:rPr>
            </w:pPr>
            <w:r>
              <w:rPr>
                <w:sz w:val="21"/>
              </w:rPr>
              <w:t>专业认知</w:t>
            </w:r>
          </w:p>
        </w:tc>
        <w:tc>
          <w:tcPr>
            <w:tcW w:w="2974" w:type="dxa"/>
            <w:vMerge w:val="continue"/>
            <w:tcBorders>
              <w:top w:val="nil"/>
            </w:tcBorders>
            <w:vAlign w:val="center"/>
          </w:tcPr>
          <w:p>
            <w:pPr>
              <w:jc w:val="both"/>
              <w:rPr>
                <w:sz w:val="2"/>
                <w:szCs w:val="2"/>
              </w:rPr>
            </w:pPr>
          </w:p>
        </w:tc>
        <w:tc>
          <w:tcPr>
            <w:tcW w:w="3740" w:type="dxa"/>
            <w:vAlign w:val="center"/>
          </w:tcPr>
          <w:p>
            <w:pPr>
              <w:pStyle w:val="12"/>
              <w:spacing w:line="278" w:lineRule="auto"/>
              <w:ind w:left="108" w:right="92"/>
              <w:jc w:val="both"/>
              <w:rPr>
                <w:sz w:val="21"/>
              </w:rPr>
            </w:pPr>
            <w:r>
              <w:rPr>
                <w:sz w:val="21"/>
              </w:rPr>
              <w:t>专业认知、职业能力倾向、专业潜力。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92" w:type="dxa"/>
            <w:vAlign w:val="center"/>
          </w:tcPr>
          <w:p>
            <w:pPr>
              <w:pStyle w:val="12"/>
              <w:spacing w:before="1" w:line="278" w:lineRule="auto"/>
              <w:ind w:left="177" w:right="167"/>
              <w:jc w:val="center"/>
              <w:rPr>
                <w:sz w:val="21"/>
              </w:rPr>
            </w:pPr>
            <w:r>
              <w:rPr>
                <w:rFonts w:hint="eastAsia"/>
                <w:sz w:val="21"/>
                <w:lang w:val="en-US"/>
              </w:rPr>
              <w:t>专</w:t>
            </w:r>
            <w:r>
              <w:rPr>
                <w:sz w:val="21"/>
              </w:rPr>
              <w:t>业能力测试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物业管理</w:t>
            </w:r>
          </w:p>
          <w:p>
            <w:pPr>
              <w:pStyle w:val="12"/>
              <w:spacing w:before="1" w:line="278" w:lineRule="auto"/>
              <w:ind w:left="568" w:right="135" w:hanging="420"/>
              <w:jc w:val="both"/>
              <w:rPr>
                <w:sz w:val="21"/>
              </w:rPr>
            </w:pPr>
            <w:r>
              <w:rPr>
                <w:sz w:val="21"/>
              </w:rPr>
              <w:t>专业能力</w:t>
            </w:r>
          </w:p>
        </w:tc>
        <w:tc>
          <w:tcPr>
            <w:tcW w:w="2974" w:type="dxa"/>
            <w:vAlign w:val="center"/>
          </w:tcPr>
          <w:p>
            <w:pPr>
              <w:pStyle w:val="12"/>
              <w:ind w:left="107"/>
              <w:jc w:val="both"/>
              <w:rPr>
                <w:sz w:val="21"/>
                <w:lang w:val="en-US"/>
              </w:rPr>
            </w:pPr>
            <w:r>
              <w:rPr>
                <w:rFonts w:hint="eastAsia"/>
                <w:sz w:val="21"/>
                <w:lang w:val="en-US"/>
              </w:rPr>
              <w:t>包含两个环节：</w:t>
            </w:r>
          </w:p>
          <w:p>
            <w:pPr>
              <w:pStyle w:val="12"/>
              <w:ind w:left="107"/>
              <w:jc w:val="both"/>
              <w:rPr>
                <w:sz w:val="21"/>
              </w:rPr>
            </w:pPr>
            <w:r>
              <w:rPr>
                <w:rFonts w:hint="eastAsia"/>
                <w:sz w:val="21"/>
                <w:lang w:val="en-US"/>
              </w:rPr>
              <w:t>1.</w:t>
            </w:r>
            <w:r>
              <w:rPr>
                <w:rFonts w:hint="eastAsia"/>
                <w:sz w:val="21"/>
              </w:rPr>
              <w:t>物业设施设备的现场指认；</w:t>
            </w:r>
          </w:p>
          <w:p>
            <w:pPr>
              <w:pStyle w:val="12"/>
              <w:ind w:left="107"/>
              <w:jc w:val="both"/>
              <w:rPr>
                <w:sz w:val="21"/>
              </w:rPr>
            </w:pPr>
            <w:r>
              <w:rPr>
                <w:rFonts w:hint="eastAsia"/>
                <w:sz w:val="21"/>
                <w:lang w:val="en-US"/>
              </w:rPr>
              <w:t>2.</w:t>
            </w:r>
            <w:r>
              <w:rPr>
                <w:rFonts w:hint="eastAsia"/>
                <w:sz w:val="21"/>
              </w:rPr>
              <w:t>物业服务技能测试。</w:t>
            </w:r>
          </w:p>
        </w:tc>
        <w:tc>
          <w:tcPr>
            <w:tcW w:w="3740" w:type="dxa"/>
            <w:vAlign w:val="center"/>
          </w:tcPr>
          <w:p>
            <w:pPr>
              <w:pStyle w:val="12"/>
              <w:tabs>
                <w:tab w:val="left" w:pos="390"/>
              </w:tabs>
              <w:spacing w:line="278" w:lineRule="auto"/>
              <w:ind w:left="108" w:right="97"/>
              <w:jc w:val="both"/>
              <w:rPr>
                <w:sz w:val="21"/>
              </w:rPr>
            </w:pPr>
            <w:r>
              <w:rPr>
                <w:rFonts w:hint="eastAsia"/>
                <w:spacing w:val="11"/>
                <w:sz w:val="21"/>
                <w:lang w:val="en-US"/>
              </w:rPr>
              <w:t>1.物业管理专业</w:t>
            </w:r>
            <w:r>
              <w:rPr>
                <w:spacing w:val="11"/>
                <w:sz w:val="21"/>
              </w:rPr>
              <w:t>基本知识理解能</w:t>
            </w:r>
            <w:r>
              <w:rPr>
                <w:spacing w:val="-2"/>
                <w:sz w:val="21"/>
              </w:rPr>
              <w:t>力</w:t>
            </w:r>
            <w:r>
              <w:rPr>
                <w:rFonts w:hint="eastAsia"/>
                <w:spacing w:val="-2"/>
                <w:sz w:val="21"/>
                <w:lang w:val="en-US"/>
              </w:rPr>
              <w:t>和</w:t>
            </w:r>
            <w:r>
              <w:rPr>
                <w:spacing w:val="-2"/>
                <w:sz w:val="21"/>
              </w:rPr>
              <w:t>掌握能力</w:t>
            </w:r>
            <w:r>
              <w:rPr>
                <w:rFonts w:hint="eastAsia"/>
                <w:spacing w:val="-2"/>
                <w:sz w:val="21"/>
              </w:rPr>
              <w:t>；</w:t>
            </w:r>
          </w:p>
          <w:p>
            <w:pPr>
              <w:pStyle w:val="12"/>
              <w:tabs>
                <w:tab w:val="left" w:pos="390"/>
              </w:tabs>
              <w:spacing w:line="269" w:lineRule="exact"/>
              <w:ind w:left="107"/>
              <w:jc w:val="both"/>
              <w:rPr>
                <w:sz w:val="21"/>
              </w:rPr>
            </w:pPr>
            <w:r>
              <w:rPr>
                <w:rFonts w:hint="eastAsia"/>
                <w:spacing w:val="12"/>
                <w:sz w:val="21"/>
                <w:lang w:val="en-US"/>
              </w:rPr>
              <w:t>2.</w:t>
            </w:r>
            <w:r>
              <w:rPr>
                <w:rFonts w:hint="eastAsia"/>
                <w:spacing w:val="12"/>
                <w:sz w:val="21"/>
              </w:rPr>
              <w:t>对物业设施设备的了解程度；</w:t>
            </w:r>
          </w:p>
          <w:p>
            <w:pPr>
              <w:pStyle w:val="12"/>
              <w:tabs>
                <w:tab w:val="left" w:pos="277"/>
              </w:tabs>
              <w:spacing w:before="22" w:line="278" w:lineRule="auto"/>
              <w:ind w:left="108" w:right="97"/>
              <w:jc w:val="both"/>
              <w:rPr>
                <w:sz w:val="21"/>
              </w:rPr>
            </w:pPr>
            <w:r>
              <w:rPr>
                <w:rFonts w:hint="eastAsia"/>
                <w:sz w:val="21"/>
                <w:lang w:val="en-US"/>
              </w:rPr>
              <w:t>3.物业客户服务能力和物业投诉处理的能力；</w:t>
            </w:r>
          </w:p>
          <w:p>
            <w:pPr>
              <w:pStyle w:val="12"/>
              <w:tabs>
                <w:tab w:val="left" w:pos="390"/>
              </w:tabs>
              <w:spacing w:line="269" w:lineRule="exact"/>
              <w:ind w:left="107"/>
              <w:jc w:val="both"/>
              <w:rPr>
                <w:sz w:val="21"/>
              </w:rPr>
            </w:pPr>
            <w:r>
              <w:rPr>
                <w:rFonts w:hint="eastAsia"/>
                <w:sz w:val="21"/>
                <w:lang w:val="en-US"/>
              </w:rPr>
              <w:t>4.通知、告示、公示等物业公文的写作能力</w:t>
            </w:r>
            <w:r>
              <w:rPr>
                <w:sz w:val="21"/>
              </w:rPr>
              <w:t>。</w:t>
            </w:r>
          </w:p>
        </w:tc>
      </w:tr>
    </w:tbl>
    <w:p>
      <w:pPr>
        <w:pStyle w:val="3"/>
        <w:spacing w:before="360" w:beforeLines="150" w:after="360" w:afterLines="150"/>
        <w:ind w:left="788"/>
      </w:pPr>
      <w:r>
        <w:rPr>
          <w:rFonts w:hint="eastAsia"/>
        </w:rPr>
        <w:t>五、</w:t>
      </w:r>
      <w:r>
        <w:t>考核标准及分值</w:t>
      </w:r>
    </w:p>
    <w:tbl>
      <w:tblPr>
        <w:tblStyle w:val="8"/>
        <w:tblpPr w:leftFromText="180" w:rightFromText="180" w:vertAnchor="text" w:horzAnchor="page" w:tblpXSpec="center" w:tblpY="470"/>
        <w:tblOverlap w:val="never"/>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562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32" w:type="dxa"/>
            <w:vAlign w:val="center"/>
          </w:tcPr>
          <w:p>
            <w:pPr>
              <w:pStyle w:val="4"/>
              <w:spacing w:line="360" w:lineRule="auto"/>
              <w:rPr>
                <w:b/>
                <w:bCs/>
                <w:sz w:val="28"/>
                <w:szCs w:val="28"/>
              </w:rPr>
            </w:pPr>
            <w:r>
              <w:rPr>
                <w:rFonts w:hint="eastAsia"/>
                <w:b/>
                <w:bCs/>
                <w:sz w:val="28"/>
                <w:szCs w:val="28"/>
              </w:rPr>
              <w:t>技能</w:t>
            </w:r>
            <w:r>
              <w:rPr>
                <w:rFonts w:hint="eastAsia"/>
                <w:b/>
                <w:bCs/>
                <w:sz w:val="28"/>
                <w:szCs w:val="28"/>
                <w:lang w:val="en-US"/>
              </w:rPr>
              <w:t>考核</w:t>
            </w:r>
            <w:r>
              <w:rPr>
                <w:rFonts w:hint="eastAsia"/>
                <w:b/>
                <w:bCs/>
                <w:sz w:val="28"/>
                <w:szCs w:val="28"/>
              </w:rPr>
              <w:t>项目</w:t>
            </w:r>
          </w:p>
        </w:tc>
        <w:tc>
          <w:tcPr>
            <w:tcW w:w="5622" w:type="dxa"/>
            <w:vAlign w:val="center"/>
          </w:tcPr>
          <w:p>
            <w:pPr>
              <w:jc w:val="center"/>
              <w:rPr>
                <w:b/>
                <w:bCs/>
                <w:sz w:val="28"/>
                <w:szCs w:val="28"/>
                <w:lang w:val="en-US"/>
              </w:rPr>
            </w:pPr>
            <w:r>
              <w:rPr>
                <w:rFonts w:hint="eastAsia"/>
                <w:b/>
                <w:bCs/>
                <w:sz w:val="28"/>
                <w:szCs w:val="28"/>
              </w:rPr>
              <w:t>技能</w:t>
            </w:r>
            <w:r>
              <w:rPr>
                <w:rFonts w:hint="eastAsia"/>
                <w:b/>
                <w:bCs/>
                <w:sz w:val="28"/>
                <w:szCs w:val="28"/>
                <w:lang w:val="en-US"/>
              </w:rPr>
              <w:t>考核标准</w:t>
            </w:r>
          </w:p>
        </w:tc>
        <w:tc>
          <w:tcPr>
            <w:tcW w:w="1029" w:type="dxa"/>
            <w:vAlign w:val="center"/>
          </w:tcPr>
          <w:p>
            <w:pPr>
              <w:jc w:val="center"/>
              <w:rPr>
                <w:b/>
                <w:bCs/>
                <w:sz w:val="28"/>
                <w:szCs w:val="28"/>
              </w:rPr>
            </w:pPr>
            <w:r>
              <w:rPr>
                <w:rFonts w:hint="eastAsia"/>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32" w:type="dxa"/>
            <w:vMerge w:val="restart"/>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自我形象展示</w:t>
            </w:r>
          </w:p>
          <w:p>
            <w:pPr>
              <w:spacing w:line="360" w:lineRule="auto"/>
              <w:jc w:val="center"/>
            </w:pPr>
            <w:r>
              <w:rPr>
                <w:rFonts w:hint="eastAsia"/>
              </w:rPr>
              <w:t>（时间≤5分钟）</w:t>
            </w:r>
          </w:p>
          <w:p>
            <w:pPr>
              <w:spacing w:line="360" w:lineRule="auto"/>
              <w:jc w:val="center"/>
            </w:pPr>
            <w:r>
              <w:rPr>
                <w:rFonts w:hint="eastAsia"/>
                <w:b/>
                <w:bCs/>
              </w:rPr>
              <w:t>总分</w:t>
            </w:r>
            <w:r>
              <w:rPr>
                <w:rFonts w:hint="eastAsia"/>
                <w:b/>
                <w:bCs/>
                <w:lang w:val="en-US"/>
              </w:rPr>
              <w:t>50</w:t>
            </w:r>
            <w:r>
              <w:rPr>
                <w:rFonts w:hint="eastAsia"/>
                <w:b/>
                <w:bCs/>
              </w:rPr>
              <w:t>分</w:t>
            </w:r>
          </w:p>
        </w:tc>
        <w:tc>
          <w:tcPr>
            <w:tcW w:w="5622" w:type="dxa"/>
            <w:vAlign w:val="center"/>
          </w:tcPr>
          <w:p>
            <w:pPr>
              <w:spacing w:line="320" w:lineRule="exact"/>
              <w:jc w:val="both"/>
              <w:rPr>
                <w:sz w:val="21"/>
                <w:szCs w:val="21"/>
              </w:rPr>
            </w:pPr>
            <w:r>
              <w:rPr>
                <w:rFonts w:hint="eastAsia"/>
                <w:sz w:val="21"/>
                <w:szCs w:val="21"/>
                <w:lang w:val="en-US"/>
              </w:rPr>
              <w:t>1.仪容仪表：</w:t>
            </w:r>
            <w:r>
              <w:rPr>
                <w:rFonts w:hint="eastAsia"/>
                <w:sz w:val="21"/>
                <w:szCs w:val="21"/>
              </w:rPr>
              <w:t>举止大方、</w:t>
            </w:r>
            <w:r>
              <w:rPr>
                <w:rFonts w:hint="eastAsia"/>
                <w:sz w:val="21"/>
                <w:szCs w:val="21"/>
                <w:lang w:val="en-US"/>
              </w:rPr>
              <w:t>谈吐得体、</w:t>
            </w:r>
            <w:r>
              <w:rPr>
                <w:rFonts w:hint="eastAsia"/>
                <w:sz w:val="21"/>
                <w:szCs w:val="21"/>
              </w:rPr>
              <w:t>自然、优雅，注重礼节礼貌，面带微笑  </w:t>
            </w:r>
          </w:p>
        </w:tc>
        <w:tc>
          <w:tcPr>
            <w:tcW w:w="1029" w:type="dxa"/>
            <w:vAlign w:val="center"/>
          </w:tcPr>
          <w:p>
            <w:pPr>
              <w:spacing w:line="320" w:lineRule="exact"/>
              <w:jc w:val="center"/>
              <w:rPr>
                <w:sz w:val="21"/>
                <w:szCs w:val="21"/>
                <w:lang w:val="en-US"/>
              </w:rPr>
            </w:pPr>
            <w:r>
              <w:rPr>
                <w:rFonts w:hint="eastAsia"/>
                <w:sz w:val="21"/>
                <w:szCs w:val="21"/>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32" w:type="dxa"/>
            <w:vMerge w:val="continue"/>
            <w:vAlign w:val="center"/>
          </w:tcPr>
          <w:p>
            <w:pPr>
              <w:jc w:val="center"/>
            </w:pPr>
          </w:p>
        </w:tc>
        <w:tc>
          <w:tcPr>
            <w:tcW w:w="5622" w:type="dxa"/>
            <w:vAlign w:val="center"/>
          </w:tcPr>
          <w:p>
            <w:pPr>
              <w:spacing w:line="320" w:lineRule="exact"/>
              <w:jc w:val="both"/>
              <w:rPr>
                <w:sz w:val="21"/>
                <w:szCs w:val="21"/>
              </w:rPr>
            </w:pPr>
            <w:r>
              <w:rPr>
                <w:rFonts w:hint="eastAsia"/>
                <w:sz w:val="21"/>
                <w:szCs w:val="21"/>
              </w:rPr>
              <w:t>2.</w:t>
            </w:r>
            <w:r>
              <w:rPr>
                <w:rFonts w:asciiTheme="minorHAnsi" w:hAnsiTheme="minorHAnsi" w:eastAsiaTheme="minorEastAsia" w:cstheme="minorBidi"/>
                <w:kern w:val="2"/>
                <w:sz w:val="21"/>
                <w:lang w:val="en-US" w:bidi="ar-SA"/>
              </w:rPr>
              <w:t>逻辑思维</w:t>
            </w:r>
            <w:r>
              <w:rPr>
                <w:rFonts w:hint="eastAsia" w:asciiTheme="minorHAnsi" w:hAnsiTheme="minorHAnsi" w:eastAsiaTheme="minorEastAsia" w:cstheme="minorBidi"/>
                <w:kern w:val="2"/>
                <w:sz w:val="21"/>
                <w:lang w:val="en-US" w:bidi="ar-SA"/>
              </w:rPr>
              <w:t>：语言表达能力和沟通能力</w:t>
            </w:r>
            <w:r>
              <w:rPr>
                <w:rFonts w:hint="eastAsia"/>
                <w:sz w:val="21"/>
                <w:szCs w:val="21"/>
              </w:rPr>
              <w:t>  </w:t>
            </w:r>
          </w:p>
        </w:tc>
        <w:tc>
          <w:tcPr>
            <w:tcW w:w="1029" w:type="dxa"/>
            <w:vAlign w:val="center"/>
          </w:tcPr>
          <w:p>
            <w:pPr>
              <w:spacing w:line="320" w:lineRule="exact"/>
              <w:jc w:val="center"/>
              <w:rPr>
                <w:sz w:val="21"/>
                <w:szCs w:val="21"/>
                <w:lang w:val="en-US"/>
              </w:rPr>
            </w:pPr>
            <w:r>
              <w:rPr>
                <w:rFonts w:hint="eastAsia"/>
                <w:sz w:val="21"/>
                <w:szCs w:val="21"/>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32" w:type="dxa"/>
            <w:vMerge w:val="continue"/>
            <w:vAlign w:val="center"/>
          </w:tcPr>
          <w:p>
            <w:pPr>
              <w:jc w:val="center"/>
            </w:pPr>
          </w:p>
        </w:tc>
        <w:tc>
          <w:tcPr>
            <w:tcW w:w="5622" w:type="dxa"/>
            <w:vAlign w:val="center"/>
          </w:tcPr>
          <w:p>
            <w:pPr>
              <w:spacing w:line="320" w:lineRule="exact"/>
              <w:jc w:val="both"/>
              <w:rPr>
                <w:sz w:val="21"/>
                <w:szCs w:val="21"/>
              </w:rPr>
            </w:pPr>
            <w:r>
              <w:rPr>
                <w:rFonts w:hint="eastAsia"/>
                <w:sz w:val="21"/>
                <w:szCs w:val="21"/>
                <w:lang w:val="en-US"/>
              </w:rPr>
              <w:t>3</w:t>
            </w:r>
            <w:r>
              <w:rPr>
                <w:rFonts w:hint="eastAsia"/>
                <w:sz w:val="21"/>
                <w:szCs w:val="21"/>
              </w:rPr>
              <w:t>.</w:t>
            </w:r>
            <w:r>
              <w:rPr>
                <w:rFonts w:asciiTheme="minorHAnsi" w:hAnsiTheme="minorHAnsi" w:eastAsiaTheme="minorEastAsia" w:cstheme="minorBidi"/>
                <w:kern w:val="2"/>
                <w:sz w:val="21"/>
                <w:lang w:val="en-US" w:bidi="ar-SA"/>
              </w:rPr>
              <w:t>专业认知</w:t>
            </w:r>
            <w:r>
              <w:rPr>
                <w:rFonts w:hint="eastAsia" w:asciiTheme="minorHAnsi" w:hAnsiTheme="minorHAnsi" w:eastAsiaTheme="minorEastAsia" w:cstheme="minorBidi"/>
                <w:kern w:val="2"/>
                <w:sz w:val="21"/>
                <w:lang w:val="en-US" w:bidi="ar-SA"/>
              </w:rPr>
              <w:t>：</w:t>
            </w:r>
            <w:r>
              <w:rPr>
                <w:rFonts w:asciiTheme="minorHAnsi" w:hAnsiTheme="minorHAnsi" w:eastAsiaTheme="minorEastAsia" w:cstheme="minorBidi"/>
                <w:kern w:val="2"/>
                <w:sz w:val="21"/>
                <w:lang w:val="en-US" w:bidi="ar-SA"/>
              </w:rPr>
              <w:t>专业认知、职业态度</w:t>
            </w:r>
            <w:r>
              <w:rPr>
                <w:rFonts w:hint="eastAsia" w:asciiTheme="minorHAnsi" w:hAnsiTheme="minorHAnsi" w:eastAsiaTheme="minorEastAsia" w:cstheme="minorBidi"/>
                <w:kern w:val="2"/>
                <w:sz w:val="21"/>
                <w:lang w:val="en-US" w:bidi="ar-SA"/>
              </w:rPr>
              <w:t>、</w:t>
            </w:r>
            <w:r>
              <w:rPr>
                <w:rFonts w:asciiTheme="minorHAnsi" w:hAnsiTheme="minorHAnsi" w:eastAsiaTheme="minorEastAsia" w:cstheme="minorBidi"/>
                <w:kern w:val="2"/>
                <w:sz w:val="21"/>
                <w:lang w:val="en-US" w:bidi="ar-SA"/>
              </w:rPr>
              <w:t>职业能力倾向、临场应变能力和专业潜力</w:t>
            </w:r>
            <w:r>
              <w:rPr>
                <w:rFonts w:hint="eastAsia"/>
                <w:sz w:val="21"/>
                <w:szCs w:val="21"/>
              </w:rPr>
              <w:t> </w:t>
            </w:r>
          </w:p>
        </w:tc>
        <w:tc>
          <w:tcPr>
            <w:tcW w:w="1029" w:type="dxa"/>
            <w:vAlign w:val="center"/>
          </w:tcPr>
          <w:p>
            <w:pPr>
              <w:spacing w:line="320" w:lineRule="exact"/>
              <w:jc w:val="center"/>
              <w:rPr>
                <w:sz w:val="21"/>
                <w:szCs w:val="21"/>
                <w:lang w:val="en-US"/>
              </w:rPr>
            </w:pPr>
            <w:r>
              <w:rPr>
                <w:rFonts w:hint="eastAsia"/>
                <w:sz w:val="21"/>
                <w:szCs w:val="21"/>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932" w:type="dxa"/>
            <w:vAlign w:val="center"/>
          </w:tcPr>
          <w:p>
            <w:pPr>
              <w:autoSpaceDE/>
              <w:autoSpaceDN/>
              <w:spacing w:line="300" w:lineRule="auto"/>
              <w:jc w:val="center"/>
              <w:rPr>
                <w:rFonts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rPr>
              <w:t>物业设施设备的现场指认</w:t>
            </w:r>
          </w:p>
          <w:p>
            <w:pPr>
              <w:autoSpaceDE/>
              <w:autoSpaceDN/>
              <w:spacing w:line="300" w:lineRule="auto"/>
              <w:jc w:val="center"/>
            </w:pPr>
            <w:r>
              <w:rPr>
                <w:rFonts w:hint="eastAsia"/>
              </w:rPr>
              <w:t>（时间</w:t>
            </w:r>
            <w:r>
              <w:rPr>
                <w:rFonts w:hint="eastAsia" w:asciiTheme="minorEastAsia" w:hAnsiTheme="minorEastAsia" w:eastAsiaTheme="minorEastAsia" w:cstheme="minorEastAsia"/>
                <w:sz w:val="24"/>
                <w:szCs w:val="24"/>
              </w:rPr>
              <w:t>≤</w:t>
            </w:r>
            <w:r>
              <w:rPr>
                <w:rFonts w:hint="eastAsia"/>
              </w:rPr>
              <w:t>5分钟）</w:t>
            </w:r>
          </w:p>
          <w:p>
            <w:pPr>
              <w:autoSpaceDE/>
              <w:autoSpaceDN/>
              <w:spacing w:line="300" w:lineRule="auto"/>
              <w:jc w:val="center"/>
            </w:pPr>
            <w:r>
              <w:rPr>
                <w:rFonts w:hint="eastAsia"/>
                <w:b/>
                <w:bCs/>
              </w:rPr>
              <w:t>总分</w:t>
            </w:r>
            <w:r>
              <w:rPr>
                <w:rFonts w:hint="eastAsia"/>
                <w:b/>
                <w:bCs/>
                <w:lang w:val="en-US"/>
              </w:rPr>
              <w:t>50</w:t>
            </w:r>
            <w:r>
              <w:rPr>
                <w:rFonts w:hint="eastAsia"/>
                <w:b/>
                <w:bCs/>
              </w:rPr>
              <w:t>分</w:t>
            </w:r>
          </w:p>
        </w:tc>
        <w:tc>
          <w:tcPr>
            <w:tcW w:w="5622" w:type="dxa"/>
            <w:vAlign w:val="center"/>
          </w:tcPr>
          <w:p>
            <w:pPr>
              <w:spacing w:line="320" w:lineRule="exact"/>
              <w:jc w:val="both"/>
              <w:rPr>
                <w:sz w:val="21"/>
                <w:szCs w:val="21"/>
              </w:rPr>
            </w:pPr>
          </w:p>
          <w:p>
            <w:pPr>
              <w:spacing w:line="320" w:lineRule="exact"/>
              <w:ind w:firstLine="420" w:firstLineChars="200"/>
              <w:jc w:val="both"/>
              <w:rPr>
                <w:sz w:val="21"/>
                <w:szCs w:val="21"/>
                <w:lang w:val="en-US"/>
              </w:rPr>
            </w:pPr>
            <w:r>
              <w:rPr>
                <w:rFonts w:hint="eastAsia"/>
                <w:sz w:val="21"/>
                <w:szCs w:val="21"/>
              </w:rPr>
              <w:t>展示考生对物业设施设备的了解程度：</w:t>
            </w:r>
            <w:r>
              <w:rPr>
                <w:rFonts w:hint="eastAsia"/>
                <w:sz w:val="21"/>
                <w:szCs w:val="21"/>
                <w:lang w:val="en-US"/>
              </w:rPr>
              <w:t>指认出建筑设备实训室中的4样设备50分，3样设备40分，2样设备30分，1样设备20分。</w:t>
            </w:r>
          </w:p>
          <w:p>
            <w:pPr>
              <w:spacing w:line="320" w:lineRule="exact"/>
              <w:jc w:val="both"/>
              <w:rPr>
                <w:sz w:val="21"/>
                <w:szCs w:val="21"/>
              </w:rPr>
            </w:pPr>
          </w:p>
        </w:tc>
        <w:tc>
          <w:tcPr>
            <w:tcW w:w="1029" w:type="dxa"/>
            <w:vAlign w:val="center"/>
          </w:tcPr>
          <w:p>
            <w:pPr>
              <w:spacing w:line="320" w:lineRule="exact"/>
              <w:jc w:val="center"/>
              <w:rPr>
                <w:sz w:val="21"/>
                <w:szCs w:val="21"/>
                <w:lang w:val="en-US"/>
              </w:rPr>
            </w:pPr>
            <w:r>
              <w:rPr>
                <w:rFonts w:hint="eastAsia"/>
                <w:sz w:val="21"/>
                <w:szCs w:val="21"/>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932" w:type="dxa"/>
            <w:vMerge w:val="restart"/>
            <w:vAlign w:val="center"/>
          </w:tcPr>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物业服务技能</w:t>
            </w:r>
          </w:p>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考试</w:t>
            </w:r>
          </w:p>
          <w:p>
            <w:pPr>
              <w:spacing w:line="360" w:lineRule="auto"/>
              <w:jc w:val="center"/>
            </w:pPr>
            <w:r>
              <w:rPr>
                <w:rFonts w:hint="eastAsia"/>
              </w:rPr>
              <w:t>依据考官设定的场景</w:t>
            </w:r>
            <w:r>
              <w:rPr>
                <w:rFonts w:hint="eastAsia"/>
                <w:lang w:val="en-US"/>
              </w:rPr>
              <w:t>站在物业管理人员立场处理问题</w:t>
            </w:r>
            <w:r>
              <w:rPr>
                <w:rFonts w:hint="eastAsia"/>
              </w:rPr>
              <w:t>（随机抽取题目）（时间</w:t>
            </w:r>
            <w:r>
              <w:rPr>
                <w:rFonts w:hint="eastAsia" w:asciiTheme="minorEastAsia" w:hAnsiTheme="minorEastAsia" w:eastAsiaTheme="minorEastAsia" w:cstheme="minorEastAsia"/>
                <w:sz w:val="24"/>
                <w:szCs w:val="24"/>
              </w:rPr>
              <w:t>≤</w:t>
            </w:r>
            <w:r>
              <w:rPr>
                <w:rFonts w:hint="eastAsia"/>
              </w:rPr>
              <w:t>20分钟）</w:t>
            </w:r>
          </w:p>
          <w:p>
            <w:pPr>
              <w:spacing w:line="360" w:lineRule="auto"/>
              <w:jc w:val="center"/>
            </w:pPr>
            <w:r>
              <w:rPr>
                <w:rFonts w:hint="eastAsia"/>
                <w:b/>
                <w:bCs/>
              </w:rPr>
              <w:t>总分100分</w:t>
            </w:r>
          </w:p>
        </w:tc>
        <w:tc>
          <w:tcPr>
            <w:tcW w:w="5622" w:type="dxa"/>
            <w:vAlign w:val="center"/>
          </w:tcPr>
          <w:p>
            <w:pPr>
              <w:spacing w:line="320" w:lineRule="exact"/>
              <w:ind w:left="52"/>
              <w:jc w:val="both"/>
              <w:rPr>
                <w:sz w:val="21"/>
                <w:szCs w:val="21"/>
              </w:rPr>
            </w:pPr>
            <w:r>
              <w:rPr>
                <w:rFonts w:hint="eastAsia"/>
                <w:sz w:val="21"/>
                <w:szCs w:val="21"/>
                <w:lang w:val="en-US"/>
              </w:rPr>
              <w:t>1.能站在客户的角度换位思考，对客户的情绪进行引导和安抚</w:t>
            </w:r>
          </w:p>
        </w:tc>
        <w:tc>
          <w:tcPr>
            <w:tcW w:w="1029" w:type="dxa"/>
            <w:vAlign w:val="center"/>
          </w:tcPr>
          <w:p>
            <w:pPr>
              <w:spacing w:line="320" w:lineRule="exact"/>
              <w:jc w:val="center"/>
              <w:rPr>
                <w:sz w:val="21"/>
                <w:szCs w:val="21"/>
                <w:lang w:val="en-US"/>
              </w:rPr>
            </w:pPr>
            <w:r>
              <w:rPr>
                <w:rFonts w:hint="eastAsia"/>
                <w:sz w:val="21"/>
                <w:szCs w:val="21"/>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932" w:type="dxa"/>
            <w:vMerge w:val="continue"/>
            <w:vAlign w:val="center"/>
          </w:tcPr>
          <w:p>
            <w:pPr>
              <w:jc w:val="center"/>
            </w:pPr>
          </w:p>
        </w:tc>
        <w:tc>
          <w:tcPr>
            <w:tcW w:w="5622" w:type="dxa"/>
            <w:vAlign w:val="center"/>
          </w:tcPr>
          <w:p>
            <w:pPr>
              <w:spacing w:line="320" w:lineRule="exact"/>
              <w:jc w:val="both"/>
              <w:rPr>
                <w:sz w:val="21"/>
                <w:szCs w:val="21"/>
                <w:lang w:val="en-US"/>
              </w:rPr>
            </w:pPr>
            <w:r>
              <w:rPr>
                <w:rFonts w:hint="eastAsia"/>
                <w:sz w:val="21"/>
                <w:szCs w:val="21"/>
                <w:lang w:val="en-US"/>
              </w:rPr>
              <w:t>2.在沟通过程中，始终保持热情、亲切、真诚，能够有效处理投诉</w:t>
            </w:r>
          </w:p>
        </w:tc>
        <w:tc>
          <w:tcPr>
            <w:tcW w:w="1029" w:type="dxa"/>
            <w:vAlign w:val="center"/>
          </w:tcPr>
          <w:p>
            <w:pPr>
              <w:spacing w:line="320" w:lineRule="exact"/>
              <w:jc w:val="center"/>
              <w:rPr>
                <w:sz w:val="21"/>
                <w:szCs w:val="21"/>
                <w:lang w:val="en-US"/>
              </w:rPr>
            </w:pPr>
            <w:r>
              <w:rPr>
                <w:rFonts w:hint="eastAsia"/>
                <w:sz w:val="21"/>
                <w:szCs w:val="21"/>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932" w:type="dxa"/>
            <w:vMerge w:val="continue"/>
            <w:vAlign w:val="center"/>
          </w:tcPr>
          <w:p>
            <w:pPr>
              <w:jc w:val="center"/>
            </w:pPr>
          </w:p>
        </w:tc>
        <w:tc>
          <w:tcPr>
            <w:tcW w:w="5622" w:type="dxa"/>
            <w:vAlign w:val="center"/>
          </w:tcPr>
          <w:p>
            <w:pPr>
              <w:spacing w:line="320" w:lineRule="exact"/>
              <w:jc w:val="both"/>
              <w:rPr>
                <w:sz w:val="21"/>
                <w:szCs w:val="21"/>
                <w:lang w:val="en-US"/>
              </w:rPr>
            </w:pPr>
            <w:r>
              <w:rPr>
                <w:rFonts w:hint="eastAsia"/>
                <w:sz w:val="21"/>
                <w:szCs w:val="21"/>
                <w:lang w:val="en-US"/>
              </w:rPr>
              <w:t>3.能够准确理解客户所表达的服务需求，对客户的服务需求能够从物业专业的角度进行回答</w:t>
            </w:r>
          </w:p>
        </w:tc>
        <w:tc>
          <w:tcPr>
            <w:tcW w:w="1029" w:type="dxa"/>
            <w:vAlign w:val="center"/>
          </w:tcPr>
          <w:p>
            <w:pPr>
              <w:spacing w:line="320" w:lineRule="exact"/>
              <w:jc w:val="center"/>
              <w:rPr>
                <w:sz w:val="21"/>
                <w:szCs w:val="21"/>
                <w:lang w:val="en-US"/>
              </w:rPr>
            </w:pPr>
            <w:r>
              <w:rPr>
                <w:rFonts w:hint="eastAsia"/>
                <w:sz w:val="21"/>
                <w:szCs w:val="21"/>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32" w:type="dxa"/>
            <w:vMerge w:val="continue"/>
          </w:tcPr>
          <w:p>
            <w:pPr>
              <w:jc w:val="both"/>
            </w:pPr>
            <w:r>
              <w:rPr>
                <w:rFonts w:hint="eastAsia"/>
              </w:rPr>
              <w:t xml:space="preserve"> </w:t>
            </w:r>
          </w:p>
        </w:tc>
        <w:tc>
          <w:tcPr>
            <w:tcW w:w="5622" w:type="dxa"/>
            <w:vAlign w:val="center"/>
          </w:tcPr>
          <w:p>
            <w:pPr>
              <w:spacing w:line="320" w:lineRule="exact"/>
              <w:jc w:val="both"/>
              <w:rPr>
                <w:sz w:val="21"/>
                <w:szCs w:val="21"/>
              </w:rPr>
            </w:pPr>
            <w:r>
              <w:rPr>
                <w:rFonts w:hint="eastAsia"/>
                <w:sz w:val="21"/>
                <w:szCs w:val="21"/>
                <w:lang w:val="en-US"/>
              </w:rPr>
              <w:t>4</w:t>
            </w:r>
            <w:r>
              <w:rPr>
                <w:rFonts w:hint="eastAsia"/>
                <w:sz w:val="21"/>
                <w:szCs w:val="21"/>
              </w:rPr>
              <w:t>.拟写物业公文（</w:t>
            </w:r>
            <w:r>
              <w:rPr>
                <w:rFonts w:hint="eastAsia"/>
                <w:sz w:val="21"/>
                <w:szCs w:val="21"/>
                <w:lang w:val="en-US"/>
              </w:rPr>
              <w:t>停水、停电、收缴物业费通知，物业费公示，施工告示等</w:t>
            </w:r>
            <w:r>
              <w:rPr>
                <w:rFonts w:hint="eastAsia"/>
                <w:sz w:val="21"/>
                <w:szCs w:val="21"/>
              </w:rPr>
              <w:t>）</w:t>
            </w:r>
          </w:p>
        </w:tc>
        <w:tc>
          <w:tcPr>
            <w:tcW w:w="1029" w:type="dxa"/>
            <w:vAlign w:val="center"/>
          </w:tcPr>
          <w:p>
            <w:pPr>
              <w:spacing w:line="320" w:lineRule="exact"/>
              <w:jc w:val="center"/>
              <w:rPr>
                <w:sz w:val="21"/>
                <w:szCs w:val="21"/>
                <w:lang w:val="en-US"/>
              </w:rPr>
            </w:pPr>
            <w:r>
              <w:rPr>
                <w:rFonts w:hint="eastAsia"/>
                <w:sz w:val="21"/>
                <w:szCs w:val="21"/>
                <w:lang w:val="en-US"/>
              </w:rPr>
              <w:t>50</w:t>
            </w:r>
          </w:p>
        </w:tc>
      </w:tr>
    </w:tbl>
    <w:p>
      <w:pPr>
        <w:pStyle w:val="4"/>
        <w:rPr>
          <w:b/>
        </w:rPr>
      </w:pPr>
    </w:p>
    <w:p>
      <w:pPr>
        <w:pStyle w:val="3"/>
        <w:spacing w:before="360" w:beforeLines="150" w:after="360" w:afterLines="150"/>
        <w:ind w:left="788"/>
      </w:pPr>
      <w:r>
        <w:t>六、 其他事项</w:t>
      </w:r>
    </w:p>
    <w:p>
      <w:pPr>
        <w:pStyle w:val="4"/>
        <w:spacing w:before="172"/>
        <w:ind w:left="676"/>
      </w:pPr>
      <w:r>
        <w:t>考生需自备服装，测试所需设备由考点负责准备。</w:t>
      </w:r>
    </w:p>
    <w:p>
      <w:pPr>
        <w:pStyle w:val="4"/>
        <w:spacing w:before="172"/>
        <w:ind w:left="676"/>
      </w:pPr>
    </w:p>
    <w:p>
      <w:pPr>
        <w:pStyle w:val="4"/>
        <w:spacing w:before="172"/>
        <w:ind w:left="676"/>
        <w:rPr>
          <w:sz w:val="37"/>
        </w:rPr>
      </w:pPr>
    </w:p>
    <w:p>
      <w:pPr>
        <w:pStyle w:val="4"/>
        <w:spacing w:before="172"/>
        <w:jc w:val="right"/>
        <w:rPr>
          <w:lang w:val="en-US"/>
        </w:rPr>
      </w:pPr>
      <w:r>
        <w:rPr>
          <w:rFonts w:hint="eastAsia"/>
          <w:lang w:val="en-US"/>
        </w:rPr>
        <w:t>四川</w:t>
      </w:r>
      <w:r>
        <w:rPr>
          <w:lang w:val="en-US"/>
        </w:rPr>
        <w:t>城市职业学院</w:t>
      </w:r>
    </w:p>
    <w:p>
      <w:pPr>
        <w:pStyle w:val="4"/>
        <w:spacing w:before="172"/>
        <w:jc w:val="right"/>
        <w:rPr>
          <w:rFonts w:hint="eastAsia"/>
          <w:sz w:val="37"/>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GU3MmJiMzIxYzRiYmFkMDVlOTA1ZDBmMjdhYzQifQ=="/>
  </w:docVars>
  <w:rsids>
    <w:rsidRoot w:val="009F2E7C"/>
    <w:rsid w:val="000F388B"/>
    <w:rsid w:val="001E3407"/>
    <w:rsid w:val="00277201"/>
    <w:rsid w:val="00287CB8"/>
    <w:rsid w:val="002F3AB2"/>
    <w:rsid w:val="005D3965"/>
    <w:rsid w:val="00742203"/>
    <w:rsid w:val="008D0B92"/>
    <w:rsid w:val="009F2E7C"/>
    <w:rsid w:val="00BE7ACF"/>
    <w:rsid w:val="02993D74"/>
    <w:rsid w:val="05B278AA"/>
    <w:rsid w:val="05B5151A"/>
    <w:rsid w:val="05C83C14"/>
    <w:rsid w:val="07744B45"/>
    <w:rsid w:val="0A1C2D6F"/>
    <w:rsid w:val="0A2D0875"/>
    <w:rsid w:val="0BC071F3"/>
    <w:rsid w:val="0F0F49FA"/>
    <w:rsid w:val="105A60FB"/>
    <w:rsid w:val="108D1186"/>
    <w:rsid w:val="10E51F3C"/>
    <w:rsid w:val="12263FC0"/>
    <w:rsid w:val="1A195F05"/>
    <w:rsid w:val="1A680B91"/>
    <w:rsid w:val="1AB303E7"/>
    <w:rsid w:val="1ED5749E"/>
    <w:rsid w:val="20FC3FCD"/>
    <w:rsid w:val="21F8495F"/>
    <w:rsid w:val="24940D69"/>
    <w:rsid w:val="270C728C"/>
    <w:rsid w:val="277D5BCA"/>
    <w:rsid w:val="2A264A74"/>
    <w:rsid w:val="2B8F3457"/>
    <w:rsid w:val="2C0722AA"/>
    <w:rsid w:val="2E8A4DB3"/>
    <w:rsid w:val="30656009"/>
    <w:rsid w:val="32C036FC"/>
    <w:rsid w:val="3ABE501C"/>
    <w:rsid w:val="3BD6668B"/>
    <w:rsid w:val="415B3CE7"/>
    <w:rsid w:val="46C65B50"/>
    <w:rsid w:val="47440E34"/>
    <w:rsid w:val="4A414801"/>
    <w:rsid w:val="4B4C74EB"/>
    <w:rsid w:val="4D704661"/>
    <w:rsid w:val="4E560A0F"/>
    <w:rsid w:val="4EB81571"/>
    <w:rsid w:val="4FFA33D2"/>
    <w:rsid w:val="51474E7D"/>
    <w:rsid w:val="53356053"/>
    <w:rsid w:val="596C3133"/>
    <w:rsid w:val="5B7D4522"/>
    <w:rsid w:val="5BF21F97"/>
    <w:rsid w:val="5D7B4B05"/>
    <w:rsid w:val="608D21DA"/>
    <w:rsid w:val="631479A0"/>
    <w:rsid w:val="63EF7FC4"/>
    <w:rsid w:val="668A1FEA"/>
    <w:rsid w:val="688F090C"/>
    <w:rsid w:val="6D2E1014"/>
    <w:rsid w:val="6D385CA4"/>
    <w:rsid w:val="6EAD044A"/>
    <w:rsid w:val="6FFD63D5"/>
    <w:rsid w:val="746D1EF0"/>
    <w:rsid w:val="795066DD"/>
    <w:rsid w:val="79872768"/>
    <w:rsid w:val="7AED4E21"/>
    <w:rsid w:val="7E4E39A1"/>
    <w:rsid w:val="7EAF1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1290</Words>
  <Characters>1337</Characters>
  <Lines>10</Lines>
  <Paragraphs>2</Paragraphs>
  <TotalTime>2</TotalTime>
  <ScaleCrop>false</ScaleCrop>
  <LinksUpToDate>false</LinksUpToDate>
  <CharactersWithSpaces>1351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密码</cp:lastModifiedBy>
  <dcterms:modified xsi:type="dcterms:W3CDTF">2023-02-26T13:32:55Z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6128A1E9E61A40A39E675B5139724C51</vt:lpwstr>
  </property>
</Properties>
</file>