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宋体" w:hAnsi="宋体" w:cs="宋体"/>
          <w:b/>
          <w:color w:val="000000"/>
          <w:sz w:val="36"/>
          <w:szCs w:val="36"/>
        </w:rPr>
      </w:pPr>
      <w:r>
        <w:rPr>
          <w:rFonts w:hint="eastAsia" w:ascii="宋体" w:hAnsi="宋体" w:cs="宋体"/>
          <w:b/>
          <w:color w:val="000000"/>
          <w:sz w:val="36"/>
          <w:szCs w:val="36"/>
        </w:rPr>
        <w:t>四川城市职业学院202</w:t>
      </w:r>
      <w:r>
        <w:rPr>
          <w:rFonts w:hint="eastAsia" w:ascii="宋体" w:hAnsi="宋体" w:cs="宋体"/>
          <w:b/>
          <w:color w:val="000000"/>
          <w:sz w:val="36"/>
          <w:szCs w:val="36"/>
          <w:lang w:val="en-US" w:eastAsia="zh-CN"/>
        </w:rPr>
        <w:t>2</w:t>
      </w:r>
      <w:r>
        <w:rPr>
          <w:rFonts w:hint="eastAsia" w:ascii="宋体" w:hAnsi="宋体" w:cs="宋体"/>
          <w:b/>
          <w:color w:val="000000"/>
          <w:sz w:val="36"/>
          <w:szCs w:val="36"/>
        </w:rPr>
        <w:t>年单独招生考试</w:t>
      </w:r>
    </w:p>
    <w:p>
      <w:pPr>
        <w:spacing w:line="500" w:lineRule="exact"/>
        <w:jc w:val="center"/>
        <w:rPr>
          <w:rFonts w:ascii="宋体" w:hAnsi="宋体" w:cs="宋体"/>
          <w:b/>
          <w:color w:val="000000"/>
          <w:sz w:val="36"/>
          <w:szCs w:val="36"/>
        </w:rPr>
      </w:pPr>
      <w:bookmarkStart w:id="0" w:name="_Hlk60828106"/>
      <w:r>
        <w:rPr>
          <w:rFonts w:hint="eastAsia" w:ascii="宋体" w:hAnsi="宋体" w:cs="宋体"/>
          <w:b/>
          <w:color w:val="000000"/>
          <w:sz w:val="36"/>
          <w:szCs w:val="36"/>
          <w:lang w:val="en-US" w:eastAsia="zh-CN"/>
        </w:rPr>
        <w:t>电子商务</w:t>
      </w:r>
      <w:r>
        <w:rPr>
          <w:rFonts w:hint="eastAsia" w:ascii="宋体" w:hAnsi="宋体" w:cs="宋体"/>
          <w:b/>
          <w:color w:val="000000"/>
          <w:sz w:val="36"/>
          <w:szCs w:val="36"/>
        </w:rPr>
        <w:t>专业</w:t>
      </w:r>
      <w:bookmarkEnd w:id="0"/>
      <w:r>
        <w:rPr>
          <w:rFonts w:hint="eastAsia" w:ascii="宋体" w:hAnsi="宋体" w:cs="宋体"/>
          <w:b/>
          <w:color w:val="000000"/>
          <w:sz w:val="36"/>
          <w:szCs w:val="36"/>
          <w:lang w:val="en-US" w:eastAsia="zh-CN"/>
        </w:rPr>
        <w:t>技能</w:t>
      </w:r>
      <w:r>
        <w:rPr>
          <w:rFonts w:hint="eastAsia" w:ascii="宋体" w:hAnsi="宋体" w:cs="宋体"/>
          <w:b/>
          <w:color w:val="000000"/>
          <w:sz w:val="36"/>
          <w:szCs w:val="36"/>
        </w:rPr>
        <w:t>测试指南</w:t>
      </w:r>
    </w:p>
    <w:p>
      <w:pPr>
        <w:widowControl/>
        <w:snapToGrid w:val="0"/>
        <w:spacing w:line="240" w:lineRule="atLeast"/>
        <w:jc w:val="center"/>
        <w:rPr>
          <w:rFonts w:ascii="宋体" w:hAnsi="宋体" w:cs="宋体"/>
          <w:b/>
          <w:color w:val="000000"/>
          <w:sz w:val="36"/>
          <w:szCs w:val="36"/>
        </w:rPr>
      </w:pPr>
    </w:p>
    <w:p>
      <w:pPr>
        <w:pStyle w:val="17"/>
        <w:numPr>
          <w:ilvl w:val="0"/>
          <w:numId w:val="1"/>
        </w:numPr>
        <w:ind w:firstLine="111" w:firstLineChars="0"/>
        <w:rPr>
          <w:b/>
          <w:sz w:val="28"/>
          <w:szCs w:val="28"/>
        </w:rPr>
      </w:pPr>
      <w:r>
        <w:rPr>
          <w:rFonts w:hint="eastAsia"/>
          <w:b/>
          <w:sz w:val="28"/>
          <w:szCs w:val="28"/>
        </w:rPr>
        <w:t>考试性质</w:t>
      </w:r>
    </w:p>
    <w:p>
      <w:pPr>
        <w:spacing w:line="400" w:lineRule="exact"/>
        <w:ind w:firstLine="560" w:firstLineChars="200"/>
        <w:jc w:val="left"/>
        <w:rPr>
          <w:sz w:val="28"/>
          <w:szCs w:val="28"/>
        </w:rPr>
      </w:pPr>
      <w:r>
        <w:rPr>
          <w:rFonts w:hint="eastAsia"/>
          <w:sz w:val="28"/>
          <w:szCs w:val="28"/>
        </w:rPr>
        <w:t>单独招生</w:t>
      </w:r>
      <w:r>
        <w:rPr>
          <w:rFonts w:hint="eastAsia"/>
          <w:sz w:val="28"/>
          <w:szCs w:val="28"/>
          <w:lang w:val="en-US" w:eastAsia="zh-CN"/>
        </w:rPr>
        <w:t>技能</w:t>
      </w:r>
      <w:r>
        <w:rPr>
          <w:rFonts w:hint="eastAsia"/>
          <w:bCs/>
          <w:sz w:val="28"/>
          <w:szCs w:val="28"/>
        </w:rPr>
        <w:t>测试</w:t>
      </w:r>
      <w:r>
        <w:rPr>
          <w:rFonts w:hint="eastAsia"/>
          <w:sz w:val="28"/>
          <w:szCs w:val="28"/>
        </w:rPr>
        <w:t>是面向中等职业技术学院考生（对口高职）考生参加的选拔性考试，是单招考试的组成部分。本测试指南适用于中等职业技术学院考生（对口高职）参加</w:t>
      </w:r>
      <w:r>
        <w:rPr>
          <w:rFonts w:hint="eastAsia"/>
          <w:sz w:val="28"/>
          <w:szCs w:val="28"/>
          <w:lang w:val="en-US" w:eastAsia="zh-CN"/>
        </w:rPr>
        <w:t>电子商务</w:t>
      </w:r>
      <w:r>
        <w:rPr>
          <w:rFonts w:hint="eastAsia"/>
          <w:sz w:val="28"/>
          <w:szCs w:val="28"/>
        </w:rPr>
        <w:t>专业人才的选拔。</w:t>
      </w:r>
    </w:p>
    <w:p>
      <w:pPr>
        <w:spacing w:line="400" w:lineRule="exact"/>
        <w:ind w:firstLine="495" w:firstLineChars="177"/>
        <w:rPr>
          <w:sz w:val="28"/>
          <w:szCs w:val="28"/>
        </w:rPr>
      </w:pPr>
    </w:p>
    <w:p>
      <w:pPr>
        <w:pStyle w:val="17"/>
        <w:numPr>
          <w:ilvl w:val="0"/>
          <w:numId w:val="1"/>
        </w:numPr>
        <w:ind w:hanging="30" w:firstLineChars="0"/>
        <w:rPr>
          <w:b/>
          <w:sz w:val="28"/>
          <w:szCs w:val="28"/>
        </w:rPr>
      </w:pPr>
      <w:r>
        <w:rPr>
          <w:rFonts w:hint="eastAsia"/>
          <w:b/>
          <w:sz w:val="28"/>
          <w:szCs w:val="28"/>
        </w:rPr>
        <w:t>制定依据</w:t>
      </w:r>
    </w:p>
    <w:p>
      <w:pPr>
        <w:spacing w:line="400" w:lineRule="exact"/>
        <w:ind w:firstLine="560" w:firstLineChars="200"/>
        <w:jc w:val="left"/>
        <w:rPr>
          <w:rFonts w:hint="eastAsia"/>
          <w:bCs/>
          <w:sz w:val="28"/>
          <w:szCs w:val="28"/>
        </w:rPr>
      </w:pPr>
      <w:r>
        <w:rPr>
          <w:rFonts w:hint="eastAsia"/>
          <w:bCs/>
          <w:sz w:val="28"/>
          <w:szCs w:val="28"/>
        </w:rPr>
        <w:t>本标准是依据《教育部中等职业学校商贸类专业教学标准》,以教育部和四川省教育厅颁布的中等职业学校教学用书目录中本专业相关教材和教辅用书为主要参考材料，同时结合中职毕业生进入高等院校继续学习所应具备的专业基础技能要求而制定。</w:t>
      </w:r>
    </w:p>
    <w:p>
      <w:pPr>
        <w:spacing w:line="400" w:lineRule="exact"/>
        <w:ind w:firstLine="560" w:firstLineChars="200"/>
        <w:rPr>
          <w:sz w:val="28"/>
          <w:szCs w:val="28"/>
        </w:rPr>
      </w:pPr>
    </w:p>
    <w:p>
      <w:pPr>
        <w:pStyle w:val="17"/>
        <w:numPr>
          <w:ilvl w:val="0"/>
          <w:numId w:val="1"/>
        </w:numPr>
        <w:ind w:hanging="30" w:firstLineChars="0"/>
        <w:rPr>
          <w:b/>
          <w:sz w:val="28"/>
          <w:szCs w:val="28"/>
        </w:rPr>
      </w:pPr>
      <w:r>
        <w:rPr>
          <w:rFonts w:hint="eastAsia"/>
          <w:b/>
          <w:sz w:val="28"/>
          <w:szCs w:val="28"/>
        </w:rPr>
        <w:t>考核方法</w:t>
      </w:r>
    </w:p>
    <w:p>
      <w:pPr>
        <w:spacing w:line="400" w:lineRule="exact"/>
        <w:ind w:firstLine="420" w:firstLineChars="0"/>
        <w:jc w:val="left"/>
        <w:rPr>
          <w:sz w:val="28"/>
          <w:szCs w:val="28"/>
        </w:rPr>
      </w:pPr>
      <w:r>
        <w:rPr>
          <w:rFonts w:hint="eastAsia"/>
          <w:bCs/>
          <w:sz w:val="28"/>
          <w:szCs w:val="28"/>
        </w:rPr>
        <w:t>采用专业技能测试的形式，考官根据考生面试表现独立评分。</w:t>
      </w:r>
    </w:p>
    <w:p>
      <w:pPr>
        <w:spacing w:line="400" w:lineRule="exact"/>
        <w:jc w:val="left"/>
        <w:rPr>
          <w:sz w:val="28"/>
          <w:szCs w:val="28"/>
        </w:rPr>
      </w:pPr>
    </w:p>
    <w:p>
      <w:pPr>
        <w:pStyle w:val="17"/>
        <w:numPr>
          <w:ilvl w:val="0"/>
          <w:numId w:val="1"/>
        </w:numPr>
        <w:ind w:hanging="30" w:firstLineChars="0"/>
        <w:rPr>
          <w:b/>
          <w:sz w:val="28"/>
          <w:szCs w:val="28"/>
        </w:rPr>
      </w:pPr>
      <w:r>
        <w:rPr>
          <w:rFonts w:hint="eastAsia"/>
          <w:b/>
          <w:sz w:val="28"/>
          <w:szCs w:val="28"/>
        </w:rPr>
        <w:t>考核要点及形式</w:t>
      </w:r>
    </w:p>
    <w:p>
      <w:pPr>
        <w:spacing w:line="400" w:lineRule="exact"/>
        <w:ind w:firstLine="560" w:firstLineChars="200"/>
        <w:jc w:val="left"/>
        <w:rPr>
          <w:rFonts w:hint="eastAsia"/>
          <w:bCs/>
          <w:sz w:val="28"/>
          <w:szCs w:val="28"/>
          <w:lang w:val="en-US" w:eastAsia="zh-CN"/>
        </w:rPr>
      </w:pPr>
      <w:r>
        <w:rPr>
          <w:rFonts w:hint="eastAsia"/>
          <w:bCs/>
          <w:sz w:val="28"/>
          <w:szCs w:val="28"/>
          <w:lang w:val="en-US" w:eastAsia="zh-CN"/>
        </w:rPr>
        <w:t>职业技能考核以电商类岗位技能考核为主、专业素养考查为辅对考生进行考评。主要考查考生对专业基础技能的掌握程度，以及运用所学知识分析解决实际问题的能力。</w:t>
      </w:r>
    </w:p>
    <w:p>
      <w:pPr>
        <w:spacing w:line="400" w:lineRule="exact"/>
        <w:ind w:firstLine="560" w:firstLineChars="200"/>
        <w:jc w:val="left"/>
        <w:rPr>
          <w:rFonts w:hint="eastAsia"/>
          <w:bCs/>
          <w:sz w:val="28"/>
          <w:szCs w:val="28"/>
        </w:rPr>
      </w:pPr>
      <w:bookmarkStart w:id="1" w:name="_GoBack"/>
      <w:r>
        <w:rPr>
          <w:rFonts w:hint="eastAsia"/>
          <w:bCs/>
          <w:sz w:val="28"/>
          <w:szCs w:val="28"/>
          <w:lang w:val="en-US" w:eastAsia="zh-CN"/>
        </w:rPr>
        <w:t>考试选择中等职业学校的电商专业训练内容包括电商运营技能、网络营销技能、网络直播技能。</w:t>
      </w:r>
    </w:p>
    <w:bookmarkEnd w:id="1"/>
    <w:p>
      <w:pPr>
        <w:spacing w:line="400" w:lineRule="exact"/>
        <w:ind w:firstLine="560" w:firstLineChars="200"/>
        <w:jc w:val="left"/>
        <w:rPr>
          <w:rFonts w:hint="eastAsia"/>
          <w:bCs/>
          <w:sz w:val="28"/>
          <w:szCs w:val="28"/>
          <w:lang w:val="en-US" w:eastAsia="zh-CN"/>
        </w:rPr>
      </w:pPr>
    </w:p>
    <w:tbl>
      <w:tblPr>
        <w:tblStyle w:val="9"/>
        <w:tblW w:w="8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8"/>
        <w:gridCol w:w="1559"/>
        <w:gridCol w:w="2551"/>
        <w:gridCol w:w="3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3" w:hRule="atLeast"/>
          <w:jc w:val="center"/>
        </w:trPr>
        <w:tc>
          <w:tcPr>
            <w:tcW w:w="2547" w:type="dxa"/>
            <w:gridSpan w:val="2"/>
            <w:vAlign w:val="center"/>
          </w:tcPr>
          <w:p>
            <w:pPr>
              <w:pStyle w:val="22"/>
              <w:ind w:firstLine="0" w:firstLineChars="0"/>
              <w:jc w:val="center"/>
              <w:rPr>
                <w:rFonts w:hint="eastAsia" w:ascii="宋体" w:hAnsi="宋体"/>
                <w:b/>
                <w:szCs w:val="21"/>
              </w:rPr>
            </w:pPr>
            <w:r>
              <w:rPr>
                <w:rFonts w:hint="eastAsia" w:ascii="宋体" w:hAnsi="宋体"/>
                <w:b/>
                <w:szCs w:val="21"/>
              </w:rPr>
              <w:t>考核要点</w:t>
            </w:r>
          </w:p>
        </w:tc>
        <w:tc>
          <w:tcPr>
            <w:tcW w:w="2551" w:type="dxa"/>
            <w:vAlign w:val="center"/>
          </w:tcPr>
          <w:p>
            <w:pPr>
              <w:pStyle w:val="22"/>
              <w:ind w:firstLine="0" w:firstLineChars="0"/>
              <w:jc w:val="center"/>
              <w:rPr>
                <w:rFonts w:hint="eastAsia" w:ascii="宋体" w:hAnsi="宋体"/>
                <w:b/>
                <w:szCs w:val="21"/>
              </w:rPr>
            </w:pPr>
            <w:r>
              <w:rPr>
                <w:rFonts w:hint="eastAsia" w:ascii="宋体" w:hAnsi="宋体"/>
                <w:b/>
                <w:szCs w:val="21"/>
              </w:rPr>
              <w:t>考核形式</w:t>
            </w:r>
          </w:p>
        </w:tc>
        <w:tc>
          <w:tcPr>
            <w:tcW w:w="3198" w:type="dxa"/>
            <w:vAlign w:val="center"/>
          </w:tcPr>
          <w:p>
            <w:pPr>
              <w:pStyle w:val="22"/>
              <w:ind w:firstLine="0" w:firstLineChars="0"/>
              <w:jc w:val="center"/>
              <w:rPr>
                <w:rFonts w:hint="eastAsia" w:ascii="宋体" w:hAnsi="宋体"/>
                <w:b/>
                <w:szCs w:val="21"/>
              </w:rPr>
            </w:pPr>
            <w:r>
              <w:rPr>
                <w:rFonts w:hint="eastAsia" w:ascii="宋体" w:hAnsi="宋体"/>
                <w:b/>
                <w:szCs w:val="21"/>
              </w:rPr>
              <w:t>考核内容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88" w:type="dxa"/>
            <w:vMerge w:val="restart"/>
            <w:vAlign w:val="center"/>
          </w:tcPr>
          <w:p>
            <w:pPr>
              <w:pStyle w:val="22"/>
              <w:ind w:firstLine="0" w:firstLineChars="0"/>
              <w:rPr>
                <w:rFonts w:hint="eastAsia" w:ascii="宋体" w:hAnsi="宋体"/>
                <w:szCs w:val="21"/>
              </w:rPr>
            </w:pPr>
            <w:r>
              <w:rPr>
                <w:rFonts w:hint="eastAsia" w:ascii="宋体" w:hAnsi="宋体"/>
                <w:szCs w:val="21"/>
              </w:rPr>
              <w:t>专业基</w:t>
            </w:r>
          </w:p>
          <w:p>
            <w:pPr>
              <w:pStyle w:val="22"/>
              <w:ind w:firstLine="0" w:firstLineChars="0"/>
              <w:rPr>
                <w:rFonts w:hint="eastAsia" w:ascii="宋体" w:hAnsi="宋体"/>
                <w:szCs w:val="21"/>
              </w:rPr>
            </w:pPr>
            <w:r>
              <w:rPr>
                <w:rFonts w:hint="eastAsia" w:ascii="宋体" w:hAnsi="宋体"/>
                <w:szCs w:val="21"/>
              </w:rPr>
              <w:t>本素质</w:t>
            </w:r>
          </w:p>
        </w:tc>
        <w:tc>
          <w:tcPr>
            <w:tcW w:w="1559" w:type="dxa"/>
            <w:vAlign w:val="center"/>
          </w:tcPr>
          <w:p>
            <w:pPr>
              <w:pStyle w:val="22"/>
              <w:ind w:firstLine="0" w:firstLineChars="0"/>
              <w:rPr>
                <w:rFonts w:hint="eastAsia" w:ascii="宋体" w:hAnsi="宋体"/>
                <w:szCs w:val="21"/>
              </w:rPr>
            </w:pPr>
            <w:r>
              <w:rPr>
                <w:rFonts w:hint="eastAsia" w:ascii="宋体" w:hAnsi="宋体"/>
                <w:szCs w:val="21"/>
              </w:rPr>
              <w:t>基础素养</w:t>
            </w:r>
          </w:p>
        </w:tc>
        <w:tc>
          <w:tcPr>
            <w:tcW w:w="2551" w:type="dxa"/>
            <w:vMerge w:val="restart"/>
            <w:vAlign w:val="center"/>
          </w:tcPr>
          <w:p>
            <w:pPr>
              <w:pStyle w:val="22"/>
              <w:ind w:firstLine="0" w:firstLineChars="0"/>
              <w:rPr>
                <w:rFonts w:hint="eastAsia" w:ascii="宋体" w:hAnsi="宋体"/>
                <w:szCs w:val="21"/>
              </w:rPr>
            </w:pPr>
            <w:r>
              <w:rPr>
                <w:rFonts w:hint="eastAsia" w:ascii="宋体" w:hAnsi="宋体"/>
                <w:szCs w:val="21"/>
              </w:rPr>
              <w:t>个人自述：主要介绍本人优缺点、特长及爱好等（自述内容不能涉及个人基本信息）；其次介绍本专业学习情况。</w:t>
            </w:r>
          </w:p>
        </w:tc>
        <w:tc>
          <w:tcPr>
            <w:tcW w:w="3198" w:type="dxa"/>
            <w:vAlign w:val="center"/>
          </w:tcPr>
          <w:p>
            <w:pPr>
              <w:pStyle w:val="22"/>
              <w:ind w:firstLine="0" w:firstLineChars="0"/>
              <w:rPr>
                <w:rFonts w:hint="eastAsia" w:ascii="宋体" w:hAnsi="宋体"/>
                <w:szCs w:val="21"/>
              </w:rPr>
            </w:pPr>
            <w:r>
              <w:rPr>
                <w:rFonts w:hint="eastAsia" w:ascii="宋体" w:hAnsi="宋体"/>
                <w:szCs w:val="21"/>
              </w:rPr>
              <w:t>仪表举止、表达能力、基本素养和逻辑思维能力。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988" w:type="dxa"/>
            <w:vMerge w:val="continue"/>
            <w:vAlign w:val="center"/>
          </w:tcPr>
          <w:p>
            <w:pPr>
              <w:pStyle w:val="22"/>
              <w:ind w:firstLine="0" w:firstLineChars="0"/>
              <w:rPr>
                <w:rFonts w:hint="eastAsia" w:ascii="宋体" w:hAnsi="宋体"/>
                <w:szCs w:val="21"/>
              </w:rPr>
            </w:pPr>
          </w:p>
        </w:tc>
        <w:tc>
          <w:tcPr>
            <w:tcW w:w="1559" w:type="dxa"/>
            <w:vAlign w:val="center"/>
          </w:tcPr>
          <w:p>
            <w:pPr>
              <w:pStyle w:val="22"/>
              <w:ind w:firstLine="0" w:firstLineChars="0"/>
              <w:rPr>
                <w:rFonts w:hint="eastAsia" w:ascii="宋体" w:hAnsi="宋体"/>
                <w:szCs w:val="21"/>
              </w:rPr>
            </w:pPr>
            <w:r>
              <w:rPr>
                <w:rFonts w:hint="eastAsia" w:ascii="宋体" w:hAnsi="宋体"/>
                <w:szCs w:val="21"/>
              </w:rPr>
              <w:t>专业认知</w:t>
            </w:r>
          </w:p>
        </w:tc>
        <w:tc>
          <w:tcPr>
            <w:tcW w:w="2551" w:type="dxa"/>
            <w:vMerge w:val="continue"/>
            <w:vAlign w:val="center"/>
          </w:tcPr>
          <w:p>
            <w:pPr>
              <w:pStyle w:val="22"/>
              <w:ind w:firstLine="0" w:firstLineChars="0"/>
              <w:rPr>
                <w:rFonts w:hint="eastAsia" w:ascii="宋体" w:hAnsi="宋体"/>
                <w:szCs w:val="21"/>
              </w:rPr>
            </w:pPr>
          </w:p>
        </w:tc>
        <w:tc>
          <w:tcPr>
            <w:tcW w:w="3198" w:type="dxa"/>
            <w:vAlign w:val="center"/>
          </w:tcPr>
          <w:p>
            <w:pPr>
              <w:pStyle w:val="22"/>
              <w:ind w:firstLine="0" w:firstLineChars="0"/>
              <w:rPr>
                <w:rFonts w:hint="eastAsia" w:ascii="宋体" w:hAnsi="宋体"/>
                <w:szCs w:val="21"/>
              </w:rPr>
            </w:pPr>
            <w:r>
              <w:rPr>
                <w:rFonts w:hint="eastAsia" w:ascii="宋体" w:hAnsi="宋体"/>
                <w:szCs w:val="21"/>
              </w:rPr>
              <w:t>专业认知、职业能力倾向、专业潜力。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988" w:type="dxa"/>
            <w:vAlign w:val="center"/>
          </w:tcPr>
          <w:p>
            <w:pPr>
              <w:pStyle w:val="22"/>
              <w:ind w:firstLine="0" w:firstLineChars="0"/>
              <w:rPr>
                <w:rFonts w:hint="eastAsia" w:ascii="宋体" w:hAnsi="宋体"/>
                <w:szCs w:val="21"/>
              </w:rPr>
            </w:pPr>
            <w:r>
              <w:rPr>
                <w:rFonts w:hint="eastAsia" w:ascii="宋体" w:hAnsi="宋体"/>
                <w:szCs w:val="21"/>
              </w:rPr>
              <w:t>职业能</w:t>
            </w:r>
          </w:p>
          <w:p>
            <w:pPr>
              <w:pStyle w:val="22"/>
              <w:ind w:firstLine="0" w:firstLineChars="0"/>
              <w:rPr>
                <w:rFonts w:hint="eastAsia" w:ascii="宋体" w:hAnsi="宋体"/>
                <w:szCs w:val="21"/>
              </w:rPr>
            </w:pPr>
            <w:r>
              <w:rPr>
                <w:rFonts w:hint="eastAsia" w:ascii="宋体" w:hAnsi="宋体"/>
                <w:szCs w:val="21"/>
              </w:rPr>
              <w:t>力测试</w:t>
            </w:r>
          </w:p>
        </w:tc>
        <w:tc>
          <w:tcPr>
            <w:tcW w:w="1559" w:type="dxa"/>
            <w:vAlign w:val="center"/>
          </w:tcPr>
          <w:p>
            <w:pPr>
              <w:pStyle w:val="22"/>
              <w:ind w:firstLine="0" w:firstLineChars="0"/>
              <w:rPr>
                <w:rFonts w:hint="eastAsia" w:ascii="宋体" w:hAnsi="宋体"/>
                <w:szCs w:val="21"/>
              </w:rPr>
            </w:pPr>
            <w:r>
              <w:rPr>
                <w:rFonts w:hint="eastAsia" w:ascii="宋体" w:hAnsi="宋体"/>
                <w:szCs w:val="21"/>
                <w:lang w:val="en-US" w:eastAsia="zh-CN"/>
              </w:rPr>
              <w:t>电子商务</w:t>
            </w:r>
            <w:r>
              <w:rPr>
                <w:rFonts w:hint="eastAsia" w:ascii="宋体" w:hAnsi="宋体"/>
                <w:szCs w:val="21"/>
              </w:rPr>
              <w:t>岗位技能</w:t>
            </w:r>
          </w:p>
        </w:tc>
        <w:tc>
          <w:tcPr>
            <w:tcW w:w="2551" w:type="dxa"/>
            <w:vAlign w:val="center"/>
          </w:tcPr>
          <w:p>
            <w:pPr>
              <w:pStyle w:val="22"/>
              <w:ind w:firstLine="0" w:firstLineChars="0"/>
              <w:rPr>
                <w:rFonts w:hint="eastAsia" w:ascii="宋体" w:hAnsi="宋体"/>
                <w:szCs w:val="21"/>
              </w:rPr>
            </w:pPr>
            <w:r>
              <w:rPr>
                <w:rFonts w:hint="eastAsia" w:ascii="宋体" w:hAnsi="宋体"/>
                <w:szCs w:val="21"/>
              </w:rPr>
              <w:t>考生展示</w:t>
            </w:r>
            <w:r>
              <w:rPr>
                <w:rFonts w:hint="eastAsia" w:ascii="宋体" w:hAnsi="宋体"/>
                <w:szCs w:val="21"/>
                <w:lang w:val="en-US" w:eastAsia="zh-CN"/>
              </w:rPr>
              <w:t>专业相对的</w:t>
            </w:r>
            <w:r>
              <w:rPr>
                <w:rFonts w:hint="eastAsia" w:ascii="宋体" w:hAnsi="宋体"/>
                <w:szCs w:val="21"/>
              </w:rPr>
              <w:t>技能。</w:t>
            </w:r>
          </w:p>
        </w:tc>
        <w:tc>
          <w:tcPr>
            <w:tcW w:w="3198" w:type="dxa"/>
            <w:vAlign w:val="center"/>
          </w:tcPr>
          <w:p>
            <w:pPr>
              <w:pStyle w:val="22"/>
              <w:ind w:firstLine="0" w:firstLineChars="0"/>
              <w:rPr>
                <w:rFonts w:hint="eastAsia" w:ascii="宋体" w:hAnsi="宋体"/>
                <w:szCs w:val="21"/>
                <w:lang w:val="en-US" w:eastAsia="zh-CN"/>
              </w:rPr>
            </w:pPr>
            <w:r>
              <w:rPr>
                <w:rFonts w:hint="eastAsia" w:ascii="宋体" w:hAnsi="宋体"/>
                <w:szCs w:val="21"/>
                <w:lang w:val="en-US" w:eastAsia="zh-CN"/>
              </w:rPr>
              <w:t>网络营销技能、客服服务技能、电商运营技能，按专业选择其中一项进行展示</w:t>
            </w:r>
          </w:p>
        </w:tc>
      </w:tr>
    </w:tbl>
    <w:p>
      <w:pPr>
        <w:spacing w:line="400" w:lineRule="exact"/>
        <w:jc w:val="left"/>
        <w:rPr>
          <w:sz w:val="28"/>
          <w:szCs w:val="28"/>
        </w:rPr>
      </w:pPr>
    </w:p>
    <w:p>
      <w:pPr>
        <w:pStyle w:val="17"/>
        <w:numPr>
          <w:ilvl w:val="0"/>
          <w:numId w:val="1"/>
        </w:numPr>
        <w:ind w:hanging="30" w:firstLineChars="0"/>
        <w:rPr>
          <w:b/>
          <w:sz w:val="28"/>
          <w:szCs w:val="28"/>
        </w:rPr>
      </w:pPr>
      <w:r>
        <w:rPr>
          <w:rFonts w:hint="eastAsia"/>
          <w:b/>
          <w:sz w:val="28"/>
          <w:szCs w:val="28"/>
        </w:rPr>
        <w:t>考核标准</w:t>
      </w:r>
      <w:r>
        <w:rPr>
          <w:b/>
          <w:sz w:val="28"/>
          <w:szCs w:val="28"/>
        </w:rPr>
        <w:t>及分值</w:t>
      </w:r>
    </w:p>
    <w:tbl>
      <w:tblPr>
        <w:tblStyle w:val="9"/>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1"/>
        <w:gridCol w:w="1559"/>
        <w:gridCol w:w="453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Align w:val="center"/>
          </w:tcPr>
          <w:p>
            <w:pPr>
              <w:spacing w:line="400" w:lineRule="exact"/>
              <w:jc w:val="center"/>
              <w:rPr>
                <w:b/>
                <w:bCs/>
                <w:szCs w:val="21"/>
              </w:rPr>
            </w:pPr>
            <w:r>
              <w:rPr>
                <w:rFonts w:hint="eastAsia"/>
                <w:b/>
                <w:bCs/>
                <w:szCs w:val="21"/>
              </w:rPr>
              <w:t>考核要点</w:t>
            </w:r>
          </w:p>
        </w:tc>
        <w:tc>
          <w:tcPr>
            <w:tcW w:w="1559" w:type="dxa"/>
            <w:vAlign w:val="center"/>
          </w:tcPr>
          <w:p>
            <w:pPr>
              <w:spacing w:line="400" w:lineRule="exact"/>
              <w:jc w:val="center"/>
              <w:rPr>
                <w:b/>
                <w:bCs/>
                <w:szCs w:val="21"/>
              </w:rPr>
            </w:pPr>
            <w:r>
              <w:rPr>
                <w:rFonts w:hint="eastAsia"/>
                <w:b/>
                <w:bCs/>
                <w:szCs w:val="21"/>
              </w:rPr>
              <w:t>考核项目</w:t>
            </w:r>
          </w:p>
        </w:tc>
        <w:tc>
          <w:tcPr>
            <w:tcW w:w="4536" w:type="dxa"/>
            <w:vAlign w:val="center"/>
          </w:tcPr>
          <w:p>
            <w:pPr>
              <w:spacing w:line="400" w:lineRule="exact"/>
              <w:jc w:val="center"/>
              <w:rPr>
                <w:b/>
                <w:bCs/>
                <w:szCs w:val="21"/>
              </w:rPr>
            </w:pPr>
            <w:r>
              <w:rPr>
                <w:rFonts w:hint="eastAsia"/>
                <w:b/>
                <w:bCs/>
                <w:szCs w:val="21"/>
              </w:rPr>
              <w:t>评分</w:t>
            </w:r>
            <w:r>
              <w:rPr>
                <w:b/>
                <w:bCs/>
                <w:szCs w:val="21"/>
              </w:rPr>
              <w:t>标准</w:t>
            </w:r>
          </w:p>
        </w:tc>
        <w:tc>
          <w:tcPr>
            <w:tcW w:w="1134" w:type="dxa"/>
            <w:vAlign w:val="center"/>
          </w:tcPr>
          <w:p>
            <w:pPr>
              <w:spacing w:line="400" w:lineRule="exact"/>
              <w:jc w:val="center"/>
              <w:rPr>
                <w:b/>
                <w:bCs/>
                <w:szCs w:val="21"/>
              </w:rPr>
            </w:pPr>
            <w:r>
              <w:rPr>
                <w:rFonts w:hint="eastAsia"/>
                <w:b/>
                <w:bCs/>
                <w:szCs w:val="21"/>
              </w:rPr>
              <w:t>分值占比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Merge w:val="restart"/>
            <w:vAlign w:val="center"/>
          </w:tcPr>
          <w:p>
            <w:pPr>
              <w:jc w:val="center"/>
            </w:pPr>
            <w:r>
              <w:rPr>
                <w:rFonts w:hint="eastAsia"/>
              </w:rPr>
              <w:t>专业基</w:t>
            </w:r>
          </w:p>
          <w:p>
            <w:pPr>
              <w:jc w:val="center"/>
            </w:pPr>
            <w:r>
              <w:rPr>
                <w:rFonts w:hint="eastAsia"/>
              </w:rPr>
              <w:t>本素质</w:t>
            </w:r>
          </w:p>
        </w:tc>
        <w:tc>
          <w:tcPr>
            <w:tcW w:w="1559" w:type="dxa"/>
            <w:vAlign w:val="center"/>
          </w:tcPr>
          <w:p>
            <w:pPr>
              <w:jc w:val="center"/>
            </w:pPr>
            <w:r>
              <w:rPr>
                <w:rFonts w:hint="eastAsia"/>
              </w:rPr>
              <w:t>仪表仪容</w:t>
            </w:r>
          </w:p>
        </w:tc>
        <w:tc>
          <w:tcPr>
            <w:tcW w:w="4536" w:type="dxa"/>
            <w:vAlign w:val="center"/>
          </w:tcPr>
          <w:p>
            <w:r>
              <w:rPr>
                <w:rFonts w:hint="eastAsia"/>
              </w:rPr>
              <w:t>主要考查学生的仪表举止、行为举止等。</w:t>
            </w:r>
          </w:p>
        </w:tc>
        <w:tc>
          <w:tcPr>
            <w:tcW w:w="1134" w:type="dxa"/>
            <w:vAlign w:val="center"/>
          </w:tcPr>
          <w:p>
            <w:pPr>
              <w:jc w:val="center"/>
            </w:pPr>
            <w:r>
              <w:rPr>
                <w:rFonts w:hint="eastAsia"/>
                <w:lang w:val="en-US" w:eastAsia="zh-CN"/>
              </w:rPr>
              <w:t>1</w:t>
            </w:r>
            <w:r>
              <w:rPr>
                <w:rFonts w:hint="eastAsia"/>
              </w:rPr>
              <w:t>0</w:t>
            </w: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Merge w:val="continue"/>
            <w:vAlign w:val="center"/>
          </w:tcPr>
          <w:p>
            <w:pPr>
              <w:jc w:val="center"/>
            </w:pPr>
          </w:p>
        </w:tc>
        <w:tc>
          <w:tcPr>
            <w:tcW w:w="1559" w:type="dxa"/>
            <w:vAlign w:val="center"/>
          </w:tcPr>
          <w:p>
            <w:pPr>
              <w:jc w:val="center"/>
            </w:pPr>
            <w:r>
              <w:rPr>
                <w:rFonts w:hint="eastAsia"/>
              </w:rPr>
              <w:t>逻辑思维</w:t>
            </w:r>
          </w:p>
        </w:tc>
        <w:tc>
          <w:tcPr>
            <w:tcW w:w="4536" w:type="dxa"/>
            <w:vAlign w:val="center"/>
          </w:tcPr>
          <w:p>
            <w:r>
              <w:rPr>
                <w:rFonts w:hint="eastAsia"/>
              </w:rPr>
              <w:t>主要考查学生的思维逻辑、心理素养、语言表达。</w:t>
            </w:r>
          </w:p>
        </w:tc>
        <w:tc>
          <w:tcPr>
            <w:tcW w:w="1134" w:type="dxa"/>
            <w:vAlign w:val="center"/>
          </w:tcPr>
          <w:p>
            <w:pPr>
              <w:jc w:val="center"/>
            </w:pPr>
            <w:r>
              <w:rPr>
                <w:rFonts w:hint="eastAsia"/>
              </w:rPr>
              <w:t>10</w:t>
            </w: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1271" w:type="dxa"/>
            <w:vMerge w:val="continue"/>
            <w:vAlign w:val="center"/>
          </w:tcPr>
          <w:p>
            <w:pPr>
              <w:jc w:val="center"/>
            </w:pPr>
          </w:p>
        </w:tc>
        <w:tc>
          <w:tcPr>
            <w:tcW w:w="1559" w:type="dxa"/>
            <w:vAlign w:val="center"/>
          </w:tcPr>
          <w:p>
            <w:pPr>
              <w:jc w:val="center"/>
            </w:pPr>
            <w:r>
              <w:rPr>
                <w:rFonts w:hint="eastAsia"/>
              </w:rPr>
              <w:t>专业认知</w:t>
            </w:r>
          </w:p>
        </w:tc>
        <w:tc>
          <w:tcPr>
            <w:tcW w:w="4536" w:type="dxa"/>
            <w:vAlign w:val="center"/>
          </w:tcPr>
          <w:p>
            <w:r>
              <w:rPr>
                <w:rFonts w:hint="eastAsia"/>
              </w:rPr>
              <w:t>主要考查学生的专业认知、职业能力倾向、临场应变能力</w:t>
            </w:r>
            <w:r>
              <w:t>和专业潜力</w:t>
            </w:r>
            <w:r>
              <w:rPr>
                <w:rFonts w:hint="eastAsia"/>
              </w:rPr>
              <w:t>。</w:t>
            </w:r>
          </w:p>
        </w:tc>
        <w:tc>
          <w:tcPr>
            <w:tcW w:w="1134" w:type="dxa"/>
            <w:vAlign w:val="center"/>
          </w:tcPr>
          <w:p>
            <w:pPr>
              <w:jc w:val="center"/>
            </w:pPr>
            <w:r>
              <w:rPr>
                <w:rFonts w:hint="eastAsia"/>
              </w:rPr>
              <w:t>10</w:t>
            </w: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271" w:type="dxa"/>
            <w:vMerge w:val="restart"/>
            <w:vAlign w:val="center"/>
          </w:tcPr>
          <w:p>
            <w:pPr>
              <w:jc w:val="center"/>
            </w:pPr>
            <w:r>
              <w:rPr>
                <w:rFonts w:hint="eastAsia"/>
              </w:rPr>
              <w:t>职业</w:t>
            </w:r>
            <w:r>
              <w:t>能</w:t>
            </w:r>
          </w:p>
          <w:p>
            <w:pPr>
              <w:jc w:val="center"/>
            </w:pPr>
            <w:r>
              <w:t>力测试</w:t>
            </w:r>
          </w:p>
          <w:p>
            <w:pPr>
              <w:jc w:val="center"/>
            </w:pPr>
          </w:p>
        </w:tc>
        <w:tc>
          <w:tcPr>
            <w:tcW w:w="1559" w:type="dxa"/>
            <w:vAlign w:val="center"/>
          </w:tcPr>
          <w:p>
            <w:pPr>
              <w:jc w:val="center"/>
            </w:pPr>
            <w:r>
              <w:rPr>
                <w:rFonts w:hint="eastAsia"/>
                <w:lang w:val="en-US" w:eastAsia="zh-CN"/>
              </w:rPr>
              <w:t>网络营销</w:t>
            </w:r>
            <w:r>
              <w:rPr>
                <w:rFonts w:hint="eastAsia"/>
              </w:rPr>
              <w:t>技能</w:t>
            </w:r>
          </w:p>
        </w:tc>
        <w:tc>
          <w:tcPr>
            <w:tcW w:w="4536" w:type="dxa"/>
            <w:vAlign w:val="center"/>
          </w:tcPr>
          <w:p>
            <w:pPr>
              <w:rPr>
                <w:rFonts w:ascii="宋体" w:hAnsi="宋体"/>
                <w:color w:val="000000"/>
                <w:kern w:val="0"/>
                <w:szCs w:val="21"/>
              </w:rPr>
            </w:pPr>
            <w:r>
              <w:rPr>
                <w:rFonts w:hint="eastAsia"/>
                <w:lang w:val="en-US" w:eastAsia="zh-CN"/>
              </w:rPr>
              <w:t>1.</w:t>
            </w:r>
            <w:r>
              <w:rPr>
                <w:rFonts w:hint="eastAsia"/>
              </w:rPr>
              <w:t>企业、产品分析和</w:t>
            </w:r>
            <w:r>
              <w:rPr>
                <w:rFonts w:hint="eastAsia"/>
                <w:lang w:val="en-US" w:eastAsia="zh-CN"/>
              </w:rPr>
              <w:t>网络营销</w:t>
            </w:r>
            <w:r>
              <w:rPr>
                <w:rFonts w:hint="eastAsia"/>
              </w:rPr>
              <w:t>推广、</w:t>
            </w:r>
            <w:r>
              <w:rPr>
                <w:rFonts w:hint="eastAsia"/>
                <w:lang w:val="en-US" w:eastAsia="zh-CN"/>
              </w:rPr>
              <w:t>营销</w:t>
            </w:r>
            <w:r>
              <w:rPr>
                <w:rFonts w:hint="eastAsia"/>
              </w:rPr>
              <w:t>思路</w:t>
            </w:r>
            <w:r>
              <w:rPr>
                <w:rFonts w:hint="eastAsia" w:ascii="宋体" w:hAnsi="宋体"/>
                <w:color w:val="000000"/>
                <w:kern w:val="0"/>
                <w:szCs w:val="21"/>
              </w:rPr>
              <w:t>；</w:t>
            </w:r>
          </w:p>
          <w:p>
            <w:pPr>
              <w:rPr>
                <w:rFonts w:ascii="宋体" w:hAnsi="宋体"/>
                <w:color w:val="000000"/>
                <w:kern w:val="0"/>
                <w:szCs w:val="21"/>
              </w:rPr>
            </w:pPr>
            <w:r>
              <w:rPr>
                <w:rFonts w:hint="eastAsia" w:ascii="宋体" w:hAnsi="宋体"/>
                <w:color w:val="000000"/>
                <w:kern w:val="0"/>
                <w:szCs w:val="21"/>
                <w:lang w:val="en-US" w:eastAsia="zh-CN"/>
              </w:rPr>
              <w:t>2.</w:t>
            </w:r>
            <w:r>
              <w:rPr>
                <w:rFonts w:hint="eastAsia" w:ascii="宋体" w:hAnsi="宋体"/>
                <w:color w:val="000000"/>
                <w:kern w:val="0"/>
                <w:szCs w:val="21"/>
              </w:rPr>
              <w:t>分析、处理和解决</w:t>
            </w:r>
            <w:r>
              <w:rPr>
                <w:rFonts w:hint="eastAsia" w:ascii="宋体" w:hAnsi="宋体"/>
                <w:color w:val="000000"/>
                <w:kern w:val="0"/>
                <w:szCs w:val="21"/>
                <w:lang w:val="en-US" w:eastAsia="zh-CN"/>
              </w:rPr>
              <w:t>网络营销与运营</w:t>
            </w:r>
            <w:r>
              <w:rPr>
                <w:rFonts w:hint="eastAsia" w:ascii="宋体" w:hAnsi="宋体"/>
                <w:color w:val="000000"/>
                <w:kern w:val="0"/>
                <w:szCs w:val="21"/>
              </w:rPr>
              <w:t>过程中的实际问题。</w:t>
            </w:r>
          </w:p>
        </w:tc>
        <w:tc>
          <w:tcPr>
            <w:tcW w:w="1134" w:type="dxa"/>
            <w:vAlign w:val="center"/>
          </w:tcPr>
          <w:p>
            <w:pPr>
              <w:jc w:val="center"/>
            </w:pPr>
            <w:r>
              <w:rPr>
                <w:rFonts w:hint="eastAsia"/>
                <w:lang w:val="en-US" w:eastAsia="zh-CN"/>
              </w:rPr>
              <w:t>20</w:t>
            </w: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7" w:hRule="atLeast"/>
          <w:jc w:val="center"/>
        </w:trPr>
        <w:tc>
          <w:tcPr>
            <w:tcW w:w="1271" w:type="dxa"/>
            <w:vMerge w:val="continue"/>
            <w:vAlign w:val="center"/>
          </w:tcPr>
          <w:p>
            <w:pPr>
              <w:jc w:val="center"/>
            </w:pPr>
          </w:p>
        </w:tc>
        <w:tc>
          <w:tcPr>
            <w:tcW w:w="1559" w:type="dxa"/>
            <w:vAlign w:val="center"/>
          </w:tcPr>
          <w:p>
            <w:pPr>
              <w:jc w:val="center"/>
            </w:pPr>
            <w:r>
              <w:rPr>
                <w:rFonts w:hint="eastAsia"/>
                <w:lang w:val="en-US" w:eastAsia="zh-CN"/>
              </w:rPr>
              <w:t>网络直播</w:t>
            </w:r>
            <w:r>
              <w:rPr>
                <w:rFonts w:hint="eastAsia"/>
              </w:rPr>
              <w:t>技能</w:t>
            </w:r>
          </w:p>
        </w:tc>
        <w:tc>
          <w:tcPr>
            <w:tcW w:w="4536" w:type="dxa"/>
            <w:vAlign w:val="center"/>
          </w:tcPr>
          <w:p>
            <w:pPr>
              <w:rPr>
                <w:rFonts w:ascii="宋体" w:hAnsi="宋体"/>
                <w:color w:val="000000"/>
                <w:kern w:val="0"/>
                <w:szCs w:val="21"/>
              </w:rPr>
            </w:pPr>
            <w:r>
              <w:rPr>
                <w:rFonts w:hint="eastAsia" w:ascii="宋体" w:hAnsi="宋体"/>
                <w:color w:val="000000"/>
                <w:kern w:val="0"/>
                <w:szCs w:val="21"/>
                <w:lang w:val="en-US" w:eastAsia="zh-CN"/>
              </w:rPr>
              <w:t>1.</w:t>
            </w:r>
            <w:r>
              <w:rPr>
                <w:rFonts w:hint="eastAsia" w:ascii="宋体" w:hAnsi="宋体"/>
                <w:color w:val="000000"/>
                <w:kern w:val="0"/>
                <w:szCs w:val="21"/>
              </w:rPr>
              <w:t>考察学生的着装及神态是否符合要求；</w:t>
            </w:r>
          </w:p>
          <w:p>
            <w:pPr>
              <w:rPr>
                <w:rFonts w:ascii="宋体" w:hAnsi="宋体"/>
                <w:color w:val="000000"/>
                <w:kern w:val="0"/>
                <w:szCs w:val="21"/>
              </w:rPr>
            </w:pPr>
            <w:r>
              <w:rPr>
                <w:rFonts w:hint="eastAsia" w:ascii="宋体" w:hAnsi="宋体"/>
                <w:color w:val="000000"/>
                <w:kern w:val="0"/>
                <w:szCs w:val="21"/>
                <w:lang w:val="en-US" w:eastAsia="zh-CN"/>
              </w:rPr>
              <w:t>2.</w:t>
            </w:r>
            <w:r>
              <w:rPr>
                <w:rFonts w:hint="eastAsia" w:ascii="宋体" w:hAnsi="宋体"/>
                <w:color w:val="000000"/>
                <w:kern w:val="0"/>
                <w:szCs w:val="21"/>
              </w:rPr>
              <w:t>考察</w:t>
            </w:r>
            <w:r>
              <w:rPr>
                <w:rFonts w:hint="eastAsia" w:ascii="宋体" w:hAnsi="宋体"/>
                <w:color w:val="000000"/>
                <w:kern w:val="0"/>
                <w:szCs w:val="21"/>
                <w:lang w:val="en-US" w:eastAsia="zh-CN"/>
              </w:rPr>
              <w:t>应对直播间客户问题的反馈能力</w:t>
            </w:r>
            <w:r>
              <w:rPr>
                <w:rFonts w:hint="eastAsia" w:ascii="宋体" w:hAnsi="宋体"/>
                <w:color w:val="000000"/>
                <w:kern w:val="0"/>
                <w:szCs w:val="21"/>
              </w:rPr>
              <w:t>；</w:t>
            </w:r>
          </w:p>
          <w:p>
            <w:pPr>
              <w:rPr>
                <w:rFonts w:ascii="宋体" w:hAnsi="宋体"/>
                <w:color w:val="000000"/>
                <w:kern w:val="0"/>
                <w:szCs w:val="21"/>
              </w:rPr>
            </w:pPr>
            <w:r>
              <w:rPr>
                <w:rFonts w:hint="eastAsia" w:ascii="宋体" w:hAnsi="宋体"/>
                <w:color w:val="000000"/>
                <w:kern w:val="0"/>
                <w:szCs w:val="21"/>
                <w:lang w:val="en-US" w:eastAsia="zh-CN"/>
              </w:rPr>
              <w:t>3.</w:t>
            </w:r>
            <w:r>
              <w:rPr>
                <w:rFonts w:hint="eastAsia" w:ascii="宋体" w:hAnsi="宋体"/>
                <w:color w:val="000000"/>
                <w:kern w:val="0"/>
                <w:szCs w:val="21"/>
              </w:rPr>
              <w:t>考查</w:t>
            </w:r>
            <w:r>
              <w:rPr>
                <w:rFonts w:hint="eastAsia" w:ascii="宋体" w:hAnsi="宋体"/>
                <w:color w:val="000000"/>
                <w:kern w:val="0"/>
                <w:szCs w:val="21"/>
                <w:lang w:val="en-US" w:eastAsia="zh-CN"/>
              </w:rPr>
              <w:t>现场直播主播与观众的</w:t>
            </w:r>
            <w:r>
              <w:rPr>
                <w:rFonts w:hint="eastAsia" w:ascii="宋体" w:hAnsi="宋体"/>
                <w:color w:val="000000"/>
                <w:kern w:val="0"/>
                <w:szCs w:val="21"/>
              </w:rPr>
              <w:t>磋商、谈判</w:t>
            </w:r>
            <w:r>
              <w:rPr>
                <w:rFonts w:hint="eastAsia" w:ascii="宋体" w:hAnsi="宋体"/>
                <w:color w:val="000000"/>
                <w:kern w:val="0"/>
                <w:szCs w:val="21"/>
                <w:lang w:eastAsia="zh-CN"/>
              </w:rPr>
              <w:t>、</w:t>
            </w:r>
            <w:r>
              <w:rPr>
                <w:rFonts w:hint="eastAsia" w:ascii="宋体" w:hAnsi="宋体"/>
                <w:color w:val="000000"/>
                <w:kern w:val="0"/>
                <w:szCs w:val="21"/>
                <w:lang w:val="en-US" w:eastAsia="zh-CN"/>
              </w:rPr>
              <w:t>客户争端解决</w:t>
            </w:r>
            <w:r>
              <w:rPr>
                <w:rFonts w:hint="eastAsia" w:ascii="宋体" w:hAnsi="宋体"/>
                <w:color w:val="000000"/>
                <w:kern w:val="0"/>
                <w:szCs w:val="21"/>
              </w:rPr>
              <w:t>等应变能力及谈吐。</w:t>
            </w:r>
          </w:p>
        </w:tc>
        <w:tc>
          <w:tcPr>
            <w:tcW w:w="1134" w:type="dxa"/>
            <w:vAlign w:val="center"/>
          </w:tcPr>
          <w:p>
            <w:pPr>
              <w:jc w:val="center"/>
            </w:pPr>
            <w:r>
              <w:rPr>
                <w:rFonts w:hint="eastAsia"/>
                <w:lang w:val="en-US" w:eastAsia="zh-CN"/>
              </w:rPr>
              <w:t>20</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7" w:hRule="atLeast"/>
          <w:jc w:val="center"/>
        </w:trPr>
        <w:tc>
          <w:tcPr>
            <w:tcW w:w="1271" w:type="dxa"/>
            <w:vMerge w:val="continue"/>
            <w:vAlign w:val="center"/>
          </w:tcPr>
          <w:p>
            <w:pPr>
              <w:jc w:val="center"/>
            </w:pPr>
          </w:p>
        </w:tc>
        <w:tc>
          <w:tcPr>
            <w:tcW w:w="1559" w:type="dxa"/>
            <w:vAlign w:val="center"/>
          </w:tcPr>
          <w:p>
            <w:pPr>
              <w:jc w:val="center"/>
              <w:rPr>
                <w:rFonts w:hint="default" w:eastAsia="宋体"/>
                <w:lang w:val="en-US" w:eastAsia="zh-CN"/>
              </w:rPr>
            </w:pPr>
            <w:r>
              <w:rPr>
                <w:rFonts w:hint="eastAsia" w:eastAsia="宋体"/>
                <w:lang w:val="en-US" w:eastAsia="zh-CN"/>
              </w:rPr>
              <w:t>电商运营技能</w:t>
            </w:r>
          </w:p>
        </w:tc>
        <w:tc>
          <w:tcPr>
            <w:tcW w:w="4536" w:type="dxa"/>
            <w:vAlign w:val="center"/>
          </w:tcPr>
          <w:p>
            <w:pPr>
              <w:numPr>
                <w:ilvl w:val="0"/>
                <w:numId w:val="0"/>
              </w:numPr>
              <w:rPr>
                <w:rFonts w:hint="default" w:ascii="宋体" w:hAnsi="宋体"/>
                <w:color w:val="000000"/>
                <w:kern w:val="0"/>
                <w:szCs w:val="21"/>
                <w:lang w:val="en-US" w:eastAsia="zh-CN"/>
              </w:rPr>
            </w:pPr>
            <w:r>
              <w:rPr>
                <w:rFonts w:hint="eastAsia" w:ascii="宋体" w:hAnsi="宋体"/>
                <w:color w:val="000000"/>
                <w:kern w:val="0"/>
                <w:szCs w:val="21"/>
                <w:lang w:val="en-US" w:eastAsia="zh-CN"/>
              </w:rPr>
              <w:t>1.考察学生的电子商务法律法规基础常识；</w:t>
            </w:r>
          </w:p>
          <w:p>
            <w:pPr>
              <w:numPr>
                <w:ilvl w:val="0"/>
                <w:numId w:val="0"/>
              </w:numPr>
              <w:rPr>
                <w:rFonts w:hint="eastAsia" w:ascii="宋体" w:hAnsi="宋体"/>
                <w:color w:val="000000"/>
                <w:kern w:val="0"/>
                <w:szCs w:val="21"/>
                <w:lang w:val="en-US" w:eastAsia="zh-CN"/>
              </w:rPr>
            </w:pPr>
            <w:r>
              <w:rPr>
                <w:rFonts w:hint="eastAsia" w:ascii="宋体" w:hAnsi="宋体"/>
                <w:color w:val="000000"/>
                <w:kern w:val="0"/>
                <w:szCs w:val="21"/>
                <w:lang w:val="en-US" w:eastAsia="zh-CN"/>
              </w:rPr>
              <w:t>2.处理并解决跨境电商及直播带货过程中的实际问题。</w:t>
            </w:r>
          </w:p>
          <w:p>
            <w:pPr>
              <w:numPr>
                <w:ilvl w:val="0"/>
                <w:numId w:val="0"/>
              </w:numPr>
              <w:rPr>
                <w:rFonts w:hint="default" w:ascii="宋体" w:hAnsi="宋体"/>
                <w:color w:val="000000"/>
                <w:kern w:val="0"/>
                <w:szCs w:val="21"/>
                <w:lang w:val="en-US" w:eastAsia="zh-CN"/>
              </w:rPr>
            </w:pPr>
            <w:r>
              <w:rPr>
                <w:rFonts w:hint="eastAsia" w:ascii="宋体" w:hAnsi="宋体"/>
                <w:color w:val="000000"/>
                <w:kern w:val="0"/>
                <w:szCs w:val="21"/>
                <w:lang w:val="en-US" w:eastAsia="zh-CN"/>
              </w:rPr>
              <w:t>3.考察学生对电商平台（网店）运营的规划与管理能力。</w:t>
            </w:r>
          </w:p>
        </w:tc>
        <w:tc>
          <w:tcPr>
            <w:tcW w:w="1134" w:type="dxa"/>
            <w:vAlign w:val="center"/>
          </w:tcPr>
          <w:p>
            <w:pPr>
              <w:jc w:val="center"/>
              <w:rPr>
                <w:rFonts w:hint="eastAsia" w:eastAsia="宋体"/>
                <w:lang w:val="en-US" w:eastAsia="zh-CN"/>
              </w:rPr>
            </w:pPr>
            <w:r>
              <w:rPr>
                <w:rFonts w:hint="eastAsia"/>
                <w:lang w:val="en-US" w:eastAsia="zh-CN"/>
              </w:rPr>
              <w:t>30%</w:t>
            </w:r>
          </w:p>
        </w:tc>
      </w:tr>
    </w:tbl>
    <w:p>
      <w:pPr>
        <w:rPr>
          <w:b/>
          <w:sz w:val="28"/>
          <w:szCs w:val="28"/>
        </w:rPr>
      </w:pPr>
    </w:p>
    <w:p>
      <w:pPr>
        <w:pStyle w:val="17"/>
        <w:numPr>
          <w:ilvl w:val="0"/>
          <w:numId w:val="1"/>
        </w:numPr>
        <w:ind w:hanging="30" w:firstLineChars="0"/>
        <w:rPr>
          <w:b/>
          <w:sz w:val="28"/>
          <w:szCs w:val="28"/>
        </w:rPr>
      </w:pPr>
      <w:r>
        <w:rPr>
          <w:rFonts w:hint="eastAsia"/>
          <w:b/>
          <w:sz w:val="28"/>
          <w:szCs w:val="28"/>
        </w:rPr>
        <w:t>其他事项</w:t>
      </w:r>
    </w:p>
    <w:p>
      <w:pPr>
        <w:pStyle w:val="17"/>
        <w:numPr>
          <w:ilvl w:val="0"/>
          <w:numId w:val="2"/>
        </w:numPr>
        <w:spacing w:line="400" w:lineRule="exact"/>
        <w:ind w:firstLineChars="0"/>
        <w:jc w:val="left"/>
        <w:rPr>
          <w:sz w:val="28"/>
          <w:szCs w:val="28"/>
        </w:rPr>
      </w:pPr>
      <w:r>
        <w:rPr>
          <w:rFonts w:hint="eastAsia"/>
          <w:sz w:val="28"/>
          <w:szCs w:val="28"/>
        </w:rPr>
        <w:t>考生应严格遵守</w:t>
      </w:r>
      <w:r>
        <w:rPr>
          <w:rFonts w:hint="eastAsia"/>
          <w:sz w:val="28"/>
          <w:szCs w:val="28"/>
          <w:lang w:val="en-US" w:eastAsia="zh-CN"/>
        </w:rPr>
        <w:t>面试</w:t>
      </w:r>
      <w:r>
        <w:rPr>
          <w:rFonts w:hint="eastAsia"/>
          <w:sz w:val="28"/>
          <w:szCs w:val="28"/>
        </w:rPr>
        <w:t>纪律，除携带</w:t>
      </w:r>
      <w:r>
        <w:rPr>
          <w:rFonts w:hint="eastAsia"/>
          <w:sz w:val="28"/>
          <w:szCs w:val="28"/>
          <w:lang w:val="en-US" w:eastAsia="zh-CN"/>
        </w:rPr>
        <w:t>面</w:t>
      </w:r>
      <w:r>
        <w:rPr>
          <w:rFonts w:hint="eastAsia"/>
          <w:sz w:val="28"/>
          <w:szCs w:val="28"/>
        </w:rPr>
        <w:t>试必备的用具（如笔、纸等）外，不得带入任何技术资料、工具书等。</w:t>
      </w:r>
    </w:p>
    <w:p>
      <w:pPr>
        <w:pStyle w:val="17"/>
        <w:numPr>
          <w:ilvl w:val="0"/>
          <w:numId w:val="2"/>
        </w:numPr>
        <w:spacing w:line="400" w:lineRule="exact"/>
        <w:ind w:firstLineChars="0"/>
        <w:jc w:val="left"/>
        <w:rPr>
          <w:sz w:val="28"/>
          <w:szCs w:val="28"/>
        </w:rPr>
      </w:pPr>
      <w:r>
        <w:rPr>
          <w:rFonts w:hint="eastAsia"/>
          <w:sz w:val="28"/>
          <w:szCs w:val="28"/>
        </w:rPr>
        <w:t>考生在</w:t>
      </w:r>
      <w:r>
        <w:rPr>
          <w:rFonts w:hint="eastAsia"/>
          <w:sz w:val="28"/>
          <w:szCs w:val="28"/>
          <w:lang w:val="en-US" w:eastAsia="zh-CN"/>
        </w:rPr>
        <w:t>面试</w:t>
      </w:r>
      <w:r>
        <w:rPr>
          <w:rFonts w:hint="eastAsia"/>
          <w:sz w:val="28"/>
          <w:szCs w:val="28"/>
        </w:rPr>
        <w:t>过程中不得擅自离开考场，如有特殊情况，需经</w:t>
      </w:r>
      <w:r>
        <w:rPr>
          <w:rFonts w:hint="eastAsia"/>
          <w:sz w:val="28"/>
          <w:szCs w:val="28"/>
          <w:lang w:val="en-US" w:eastAsia="zh-CN"/>
        </w:rPr>
        <w:t>考官</w:t>
      </w:r>
      <w:r>
        <w:rPr>
          <w:rFonts w:hint="eastAsia"/>
          <w:sz w:val="28"/>
          <w:szCs w:val="28"/>
        </w:rPr>
        <w:t>同意后作特殊处理。</w:t>
      </w:r>
    </w:p>
    <w:p>
      <w:pPr>
        <w:spacing w:line="400" w:lineRule="exact"/>
        <w:ind w:left="456"/>
        <w:rPr>
          <w:sz w:val="28"/>
          <w:szCs w:val="28"/>
        </w:rPr>
      </w:pPr>
    </w:p>
    <w:p>
      <w:pPr>
        <w:spacing w:line="400" w:lineRule="exact"/>
        <w:ind w:left="456"/>
        <w:rPr>
          <w:sz w:val="28"/>
          <w:szCs w:val="28"/>
        </w:rPr>
      </w:pPr>
    </w:p>
    <w:p>
      <w:pPr>
        <w:spacing w:line="400" w:lineRule="exact"/>
        <w:ind w:left="456"/>
        <w:jc w:val="right"/>
        <w:rPr>
          <w:rFonts w:asciiTheme="minorEastAsia" w:hAnsiTheme="minorEastAsia"/>
          <w:sz w:val="28"/>
          <w:szCs w:val="28"/>
        </w:rPr>
      </w:pPr>
      <w:r>
        <w:rPr>
          <w:rFonts w:hint="eastAsia" w:asciiTheme="minorEastAsia" w:hAnsiTheme="minorEastAsia"/>
          <w:sz w:val="28"/>
          <w:szCs w:val="28"/>
        </w:rPr>
        <w:t>四川城市职业</w:t>
      </w:r>
      <w:r>
        <w:rPr>
          <w:rFonts w:asciiTheme="minorEastAsia" w:hAnsiTheme="minorEastAsia"/>
          <w:sz w:val="28"/>
          <w:szCs w:val="28"/>
        </w:rPr>
        <w:t>学院</w:t>
      </w:r>
    </w:p>
    <w:p>
      <w:pPr>
        <w:spacing w:line="400" w:lineRule="exact"/>
        <w:ind w:left="456"/>
        <w:jc w:val="right"/>
        <w:rPr>
          <w:rFonts w:asciiTheme="minorEastAsia" w:hAnsiTheme="minorEastAsia"/>
          <w:sz w:val="28"/>
          <w:szCs w:val="28"/>
        </w:rPr>
      </w:pPr>
      <w:r>
        <w:rPr>
          <w:rFonts w:hint="eastAsia" w:asciiTheme="minorEastAsia" w:hAnsiTheme="minorEastAsia"/>
          <w:sz w:val="28"/>
          <w:szCs w:val="28"/>
        </w:rPr>
        <w:t>20</w:t>
      </w:r>
      <w:r>
        <w:rPr>
          <w:rFonts w:asciiTheme="minorEastAsia" w:hAnsiTheme="minorEastAsia"/>
          <w:sz w:val="28"/>
          <w:szCs w:val="28"/>
        </w:rPr>
        <w:t>2</w:t>
      </w:r>
      <w:r>
        <w:rPr>
          <w:rFonts w:hint="eastAsia" w:asciiTheme="minorEastAsia" w:hAnsiTheme="minorEastAsia"/>
          <w:sz w:val="28"/>
          <w:szCs w:val="28"/>
          <w:lang w:val="en-US" w:eastAsia="zh-CN"/>
        </w:rPr>
        <w:t>2</w:t>
      </w:r>
      <w:r>
        <w:rPr>
          <w:rFonts w:hint="eastAsia" w:asciiTheme="minorEastAsia" w:hAnsiTheme="minorEastAsia"/>
          <w:sz w:val="28"/>
          <w:szCs w:val="28"/>
        </w:rPr>
        <w:t>年</w:t>
      </w:r>
      <w:r>
        <w:rPr>
          <w:rFonts w:hint="eastAsia" w:asciiTheme="minorEastAsia" w:hAnsiTheme="minorEastAsia"/>
          <w:sz w:val="28"/>
          <w:szCs w:val="28"/>
          <w:lang w:val="en-US" w:eastAsia="zh-CN"/>
        </w:rPr>
        <w:t>2</w:t>
      </w:r>
      <w:r>
        <w:rPr>
          <w:rFonts w:hint="eastAsia" w:asciiTheme="minorEastAsia" w:hAnsiTheme="minorEastAsia"/>
          <w:sz w:val="28"/>
          <w:szCs w:val="28"/>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decorative"/>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617C0"/>
    <w:multiLevelType w:val="multilevel"/>
    <w:tmpl w:val="0CE617C0"/>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61960BF2"/>
    <w:multiLevelType w:val="multilevel"/>
    <w:tmpl w:val="61960BF2"/>
    <w:lvl w:ilvl="0" w:tentative="0">
      <w:start w:val="1"/>
      <w:numFmt w:val="japaneseCounting"/>
      <w:lvlText w:val="%1、"/>
      <w:lvlJc w:val="left"/>
      <w:pPr>
        <w:ind w:left="456" w:hanging="4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863"/>
    <w:rsid w:val="00015EB7"/>
    <w:rsid w:val="00022656"/>
    <w:rsid w:val="00025B78"/>
    <w:rsid w:val="000456B7"/>
    <w:rsid w:val="000552A6"/>
    <w:rsid w:val="00071E00"/>
    <w:rsid w:val="000A5F25"/>
    <w:rsid w:val="000C12E1"/>
    <w:rsid w:val="000D23AB"/>
    <w:rsid w:val="000D5CAA"/>
    <w:rsid w:val="000D6455"/>
    <w:rsid w:val="000E5B7A"/>
    <w:rsid w:val="000F23F6"/>
    <w:rsid w:val="0011350A"/>
    <w:rsid w:val="001322AC"/>
    <w:rsid w:val="00134C07"/>
    <w:rsid w:val="00140854"/>
    <w:rsid w:val="00165925"/>
    <w:rsid w:val="00195F82"/>
    <w:rsid w:val="001F3EA3"/>
    <w:rsid w:val="00224F1E"/>
    <w:rsid w:val="002435DF"/>
    <w:rsid w:val="00247CD1"/>
    <w:rsid w:val="00263E7D"/>
    <w:rsid w:val="00263FAE"/>
    <w:rsid w:val="00283231"/>
    <w:rsid w:val="0029239E"/>
    <w:rsid w:val="002A1BCE"/>
    <w:rsid w:val="002B3255"/>
    <w:rsid w:val="002B74D4"/>
    <w:rsid w:val="002D2D4E"/>
    <w:rsid w:val="0030622F"/>
    <w:rsid w:val="003136AD"/>
    <w:rsid w:val="0031504F"/>
    <w:rsid w:val="003220A2"/>
    <w:rsid w:val="0034065D"/>
    <w:rsid w:val="00344E7F"/>
    <w:rsid w:val="00395370"/>
    <w:rsid w:val="003A1D5F"/>
    <w:rsid w:val="003B01FC"/>
    <w:rsid w:val="003B1F6E"/>
    <w:rsid w:val="003C7520"/>
    <w:rsid w:val="003C76F3"/>
    <w:rsid w:val="003D09DC"/>
    <w:rsid w:val="003D61BE"/>
    <w:rsid w:val="003F0E0D"/>
    <w:rsid w:val="004028AD"/>
    <w:rsid w:val="00427378"/>
    <w:rsid w:val="0043226B"/>
    <w:rsid w:val="0044367B"/>
    <w:rsid w:val="00476838"/>
    <w:rsid w:val="004B30E8"/>
    <w:rsid w:val="004D6351"/>
    <w:rsid w:val="004E5AB2"/>
    <w:rsid w:val="004E72F0"/>
    <w:rsid w:val="004F364C"/>
    <w:rsid w:val="00505780"/>
    <w:rsid w:val="0051036F"/>
    <w:rsid w:val="00532249"/>
    <w:rsid w:val="0053454C"/>
    <w:rsid w:val="005D2ECF"/>
    <w:rsid w:val="005D59C6"/>
    <w:rsid w:val="005D78F6"/>
    <w:rsid w:val="00604598"/>
    <w:rsid w:val="00613083"/>
    <w:rsid w:val="00631A7A"/>
    <w:rsid w:val="00636EAC"/>
    <w:rsid w:val="00641A7F"/>
    <w:rsid w:val="006466CC"/>
    <w:rsid w:val="0066138D"/>
    <w:rsid w:val="00663344"/>
    <w:rsid w:val="0066365E"/>
    <w:rsid w:val="00670FF6"/>
    <w:rsid w:val="00682498"/>
    <w:rsid w:val="006A1452"/>
    <w:rsid w:val="006C06AB"/>
    <w:rsid w:val="006D45E6"/>
    <w:rsid w:val="0070450B"/>
    <w:rsid w:val="00705171"/>
    <w:rsid w:val="00711707"/>
    <w:rsid w:val="00727396"/>
    <w:rsid w:val="00736996"/>
    <w:rsid w:val="0074160B"/>
    <w:rsid w:val="0075548B"/>
    <w:rsid w:val="00756ED2"/>
    <w:rsid w:val="007C70A4"/>
    <w:rsid w:val="007C7AE1"/>
    <w:rsid w:val="00802443"/>
    <w:rsid w:val="00802862"/>
    <w:rsid w:val="00820413"/>
    <w:rsid w:val="008234AB"/>
    <w:rsid w:val="0084356C"/>
    <w:rsid w:val="008441F7"/>
    <w:rsid w:val="00857E26"/>
    <w:rsid w:val="00866E00"/>
    <w:rsid w:val="008761ED"/>
    <w:rsid w:val="008B754A"/>
    <w:rsid w:val="008C2EE9"/>
    <w:rsid w:val="008D20C4"/>
    <w:rsid w:val="008E3DAE"/>
    <w:rsid w:val="00911A95"/>
    <w:rsid w:val="00913F09"/>
    <w:rsid w:val="009160D5"/>
    <w:rsid w:val="00916BBC"/>
    <w:rsid w:val="009432B9"/>
    <w:rsid w:val="00975187"/>
    <w:rsid w:val="00976B19"/>
    <w:rsid w:val="009813C3"/>
    <w:rsid w:val="009850CA"/>
    <w:rsid w:val="00A033A1"/>
    <w:rsid w:val="00A216F5"/>
    <w:rsid w:val="00A51159"/>
    <w:rsid w:val="00AB2A10"/>
    <w:rsid w:val="00AB3956"/>
    <w:rsid w:val="00AE2C0D"/>
    <w:rsid w:val="00B00234"/>
    <w:rsid w:val="00B13B71"/>
    <w:rsid w:val="00B22981"/>
    <w:rsid w:val="00B24B8F"/>
    <w:rsid w:val="00B43863"/>
    <w:rsid w:val="00B71396"/>
    <w:rsid w:val="00B75B16"/>
    <w:rsid w:val="00BB5543"/>
    <w:rsid w:val="00BC05CB"/>
    <w:rsid w:val="00BD7036"/>
    <w:rsid w:val="00BD7536"/>
    <w:rsid w:val="00BE40C5"/>
    <w:rsid w:val="00C21B3D"/>
    <w:rsid w:val="00C8600E"/>
    <w:rsid w:val="00C953F3"/>
    <w:rsid w:val="00C96389"/>
    <w:rsid w:val="00CA087A"/>
    <w:rsid w:val="00CA4667"/>
    <w:rsid w:val="00CB2378"/>
    <w:rsid w:val="00CC4F7B"/>
    <w:rsid w:val="00CC6863"/>
    <w:rsid w:val="00CF11A1"/>
    <w:rsid w:val="00CF46E5"/>
    <w:rsid w:val="00D13F98"/>
    <w:rsid w:val="00D30832"/>
    <w:rsid w:val="00D34505"/>
    <w:rsid w:val="00D444BB"/>
    <w:rsid w:val="00D47AFE"/>
    <w:rsid w:val="00D50076"/>
    <w:rsid w:val="00D6415B"/>
    <w:rsid w:val="00D75BD8"/>
    <w:rsid w:val="00D80CDF"/>
    <w:rsid w:val="00DE220D"/>
    <w:rsid w:val="00DF474A"/>
    <w:rsid w:val="00E06890"/>
    <w:rsid w:val="00E21C26"/>
    <w:rsid w:val="00E3542D"/>
    <w:rsid w:val="00E35F0F"/>
    <w:rsid w:val="00E41A03"/>
    <w:rsid w:val="00E42D82"/>
    <w:rsid w:val="00E67BFB"/>
    <w:rsid w:val="00E71786"/>
    <w:rsid w:val="00E741E9"/>
    <w:rsid w:val="00E96138"/>
    <w:rsid w:val="00EA0690"/>
    <w:rsid w:val="00EE0493"/>
    <w:rsid w:val="00F0792B"/>
    <w:rsid w:val="00F07D5D"/>
    <w:rsid w:val="00F26209"/>
    <w:rsid w:val="00F30EB8"/>
    <w:rsid w:val="00F60D66"/>
    <w:rsid w:val="00F96CA5"/>
    <w:rsid w:val="00FC07E8"/>
    <w:rsid w:val="00FD6083"/>
    <w:rsid w:val="00FE24C9"/>
    <w:rsid w:val="00FE5B72"/>
    <w:rsid w:val="00FF763E"/>
    <w:rsid w:val="02165CF9"/>
    <w:rsid w:val="19384725"/>
    <w:rsid w:val="2D99321B"/>
    <w:rsid w:val="2E2A1718"/>
    <w:rsid w:val="322C3397"/>
    <w:rsid w:val="360A057A"/>
    <w:rsid w:val="3C94666E"/>
    <w:rsid w:val="5BEB4F53"/>
    <w:rsid w:val="63767903"/>
    <w:rsid w:val="6806092A"/>
    <w:rsid w:val="6FA81820"/>
    <w:rsid w:val="761F56D9"/>
    <w:rsid w:val="7B9F63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8"/>
    <w:unhideWhenUsed/>
    <w:qFormat/>
    <w:uiPriority w:val="99"/>
    <w:pPr>
      <w:jc w:val="left"/>
    </w:pPr>
  </w:style>
  <w:style w:type="paragraph" w:styleId="3">
    <w:name w:val="Balloon Text"/>
    <w:basedOn w:val="1"/>
    <w:link w:val="20"/>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unhideWhenUsed/>
    <w:qFormat/>
    <w:uiPriority w:val="99"/>
    <w:rPr>
      <w:b/>
      <w:bCs/>
    </w:rPr>
  </w:style>
  <w:style w:type="table" w:styleId="9">
    <w:name w:val="Table Grid"/>
    <w:basedOn w:val="8"/>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Strong"/>
    <w:basedOn w:val="10"/>
    <w:qFormat/>
    <w:uiPriority w:val="22"/>
    <w:rPr>
      <w:b/>
      <w:bCs/>
    </w:rPr>
  </w:style>
  <w:style w:type="character" w:styleId="12">
    <w:name w:val="annotation reference"/>
    <w:basedOn w:val="10"/>
    <w:unhideWhenUsed/>
    <w:qFormat/>
    <w:uiPriority w:val="99"/>
    <w:rPr>
      <w:sz w:val="21"/>
      <w:szCs w:val="21"/>
    </w:rPr>
  </w:style>
  <w:style w:type="paragraph" w:customStyle="1" w:styleId="13">
    <w:name w:val="列出段落1"/>
    <w:basedOn w:val="1"/>
    <w:qFormat/>
    <w:uiPriority w:val="34"/>
    <w:pPr>
      <w:ind w:firstLine="420" w:firstLineChars="200"/>
    </w:pPr>
  </w:style>
  <w:style w:type="character" w:customStyle="1" w:styleId="14">
    <w:name w:val="页眉 字符"/>
    <w:basedOn w:val="10"/>
    <w:link w:val="5"/>
    <w:semiHidden/>
    <w:qFormat/>
    <w:uiPriority w:val="99"/>
    <w:rPr>
      <w:sz w:val="18"/>
      <w:szCs w:val="18"/>
    </w:rPr>
  </w:style>
  <w:style w:type="character" w:customStyle="1" w:styleId="15">
    <w:name w:val="页脚 字符"/>
    <w:basedOn w:val="10"/>
    <w:link w:val="4"/>
    <w:semiHidden/>
    <w:qFormat/>
    <w:uiPriority w:val="99"/>
    <w:rPr>
      <w:sz w:val="18"/>
      <w:szCs w:val="18"/>
    </w:rPr>
  </w:style>
  <w:style w:type="paragraph" w:customStyle="1" w:styleId="16">
    <w:name w:val="font11"/>
    <w:basedOn w:val="1"/>
    <w:qFormat/>
    <w:uiPriority w:val="0"/>
    <w:pPr>
      <w:widowControl/>
      <w:spacing w:before="100" w:beforeAutospacing="1" w:after="100" w:afterAutospacing="1"/>
      <w:jc w:val="left"/>
    </w:pPr>
    <w:rPr>
      <w:rFonts w:ascii="Arial Unicode MS" w:hAnsi="Arial Unicode MS" w:eastAsia="Arial Unicode MS" w:cs="Arial Unicode MS"/>
      <w:kern w:val="0"/>
      <w:sz w:val="22"/>
    </w:rPr>
  </w:style>
  <w:style w:type="paragraph" w:customStyle="1" w:styleId="17">
    <w:name w:val="List Paragraph"/>
    <w:basedOn w:val="1"/>
    <w:qFormat/>
    <w:uiPriority w:val="99"/>
    <w:pPr>
      <w:ind w:firstLine="420" w:firstLineChars="200"/>
    </w:pPr>
  </w:style>
  <w:style w:type="character" w:customStyle="1" w:styleId="18">
    <w:name w:val="批注文字 字符"/>
    <w:basedOn w:val="10"/>
    <w:link w:val="2"/>
    <w:semiHidden/>
    <w:qFormat/>
    <w:uiPriority w:val="99"/>
    <w:rPr>
      <w:kern w:val="2"/>
      <w:sz w:val="21"/>
      <w:szCs w:val="22"/>
    </w:rPr>
  </w:style>
  <w:style w:type="character" w:customStyle="1" w:styleId="19">
    <w:name w:val="批注主题 字符"/>
    <w:basedOn w:val="18"/>
    <w:link w:val="7"/>
    <w:semiHidden/>
    <w:uiPriority w:val="99"/>
    <w:rPr>
      <w:b/>
      <w:bCs/>
      <w:kern w:val="2"/>
      <w:sz w:val="21"/>
      <w:szCs w:val="22"/>
    </w:rPr>
  </w:style>
  <w:style w:type="character" w:customStyle="1" w:styleId="20">
    <w:name w:val="批注框文本 字符"/>
    <w:basedOn w:val="10"/>
    <w:link w:val="3"/>
    <w:semiHidden/>
    <w:qFormat/>
    <w:uiPriority w:val="99"/>
    <w:rPr>
      <w:kern w:val="2"/>
      <w:sz w:val="18"/>
      <w:szCs w:val="18"/>
    </w:rPr>
  </w:style>
  <w:style w:type="paragraph" w:customStyle="1" w:styleId="21">
    <w:name w:val="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
    <w:name w:val="列出段落2"/>
    <w:basedOn w:val="1"/>
    <w:qFormat/>
    <w:uiPriority w:val="34"/>
    <w:pPr>
      <w:ind w:firstLine="420" w:firstLineChars="200"/>
    </w:pPr>
    <w:rPr>
      <w:rFonts w:ascii="Calibri" w:hAnsi="Calibri" w:eastAsia="宋体" w:cs="Times New Roman"/>
    </w:rPr>
  </w:style>
  <w:style w:type="paragraph" w:customStyle="1" w:styleId="23">
    <w:name w:val="正文 A"/>
    <w:qFormat/>
    <w:uiPriority w:val="0"/>
    <w:pPr>
      <w:widowControl w:val="0"/>
      <w:jc w:val="both"/>
    </w:pPr>
    <w:rPr>
      <w:rFonts w:ascii="Times New Roman" w:hAnsi="Arial Unicode MS" w:eastAsia="Arial Unicode MS" w:cs="Arial Unicode MS"/>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D7F677-B51C-46F4-93EB-362972DEC4CE}">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234</Words>
  <Characters>1336</Characters>
  <Lines>11</Lines>
  <Paragraphs>3</Paragraphs>
  <TotalTime>0</TotalTime>
  <ScaleCrop>false</ScaleCrop>
  <LinksUpToDate>false</LinksUpToDate>
  <CharactersWithSpaces>1567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2019-12-24T08:18:00Z</dcterms:created>
  <dc:creator>zhaolijun</dc:creator>
  <cp:lastModifiedBy>YYY蔓</cp:lastModifiedBy>
  <dcterms:modified xsi:type="dcterms:W3CDTF">2022-03-04T07:28:18Z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939FB4CE0CFD48ED81A277E564D69E1B</vt:lpwstr>
  </property>
</Properties>
</file>